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C5" w:rsidRPr="00E12588" w:rsidRDefault="00BA54C5" w:rsidP="00BA54C5">
      <w:pPr>
        <w:jc w:val="center"/>
        <w:rPr>
          <w:rFonts w:ascii="宋体" w:hAnsi="宋体"/>
          <w:b/>
          <w:bCs/>
          <w:szCs w:val="32"/>
        </w:rPr>
      </w:pPr>
      <w:r w:rsidRPr="00E12588">
        <w:rPr>
          <w:rFonts w:ascii="宋体" w:hAnsi="宋体" w:hint="eastAsia"/>
          <w:b/>
          <w:bCs/>
          <w:szCs w:val="32"/>
        </w:rPr>
        <w:t>财务管理软件</w:t>
      </w:r>
      <w:r>
        <w:rPr>
          <w:rFonts w:ascii="宋体" w:hAnsi="宋体" w:hint="eastAsia"/>
          <w:b/>
          <w:bCs/>
          <w:szCs w:val="32"/>
        </w:rPr>
        <w:t>财务处</w:t>
      </w:r>
      <w:r w:rsidRPr="00E12588">
        <w:rPr>
          <w:rFonts w:ascii="宋体" w:hAnsi="宋体" w:hint="eastAsia"/>
          <w:b/>
          <w:bCs/>
          <w:szCs w:val="32"/>
        </w:rPr>
        <w:t>需求</w:t>
      </w:r>
    </w:p>
    <w:p w:rsidR="00BA54C5" w:rsidRPr="0024507C" w:rsidRDefault="00BA54C5" w:rsidP="00BA54C5">
      <w:pPr>
        <w:jc w:val="left"/>
        <w:rPr>
          <w:rFonts w:ascii="宋体" w:hAnsi="宋体"/>
          <w:b/>
          <w:bCs/>
        </w:rPr>
      </w:pPr>
      <w:r w:rsidRPr="0024507C">
        <w:rPr>
          <w:rFonts w:ascii="宋体" w:hAnsi="宋体" w:hint="eastAsia"/>
          <w:b/>
          <w:bCs/>
        </w:rPr>
        <w:t>一、收入</w:t>
      </w:r>
    </w:p>
    <w:tbl>
      <w:tblPr>
        <w:tblStyle w:val="a6"/>
        <w:tblW w:w="0" w:type="auto"/>
        <w:tblLook w:val="04A0"/>
      </w:tblPr>
      <w:tblGrid>
        <w:gridCol w:w="1980"/>
        <w:gridCol w:w="6316"/>
      </w:tblGrid>
      <w:tr w:rsidR="00BA54C5" w:rsidRPr="0078124B" w:rsidTr="00520271">
        <w:tc>
          <w:tcPr>
            <w:tcW w:w="1980" w:type="dxa"/>
          </w:tcPr>
          <w:p w:rsidR="00BA54C5" w:rsidRPr="0078124B" w:rsidRDefault="00BA54C5" w:rsidP="00520271">
            <w:pPr>
              <w:jc w:val="center"/>
              <w:rPr>
                <w:rFonts w:ascii="宋体" w:hAnsi="宋体"/>
              </w:rPr>
            </w:pPr>
            <w:r w:rsidRPr="0078124B">
              <w:rPr>
                <w:rFonts w:ascii="宋体" w:hAnsi="宋体" w:hint="eastAsia"/>
              </w:rPr>
              <w:t>功能名称</w:t>
            </w:r>
          </w:p>
        </w:tc>
        <w:tc>
          <w:tcPr>
            <w:tcW w:w="6316" w:type="dxa"/>
          </w:tcPr>
          <w:p w:rsidR="00BA54C5" w:rsidRPr="0078124B" w:rsidRDefault="00BA54C5" w:rsidP="00520271">
            <w:pPr>
              <w:jc w:val="center"/>
              <w:rPr>
                <w:rFonts w:ascii="宋体" w:hAnsi="宋体"/>
              </w:rPr>
            </w:pPr>
            <w:r w:rsidRPr="0078124B">
              <w:rPr>
                <w:rFonts w:ascii="宋体" w:hAnsi="宋体" w:hint="eastAsia"/>
              </w:rPr>
              <w:t>具体功能要求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 w:rsidRPr="0078124B">
              <w:rPr>
                <w:rFonts w:ascii="宋体" w:hAnsi="宋体" w:hint="eastAsia"/>
              </w:rPr>
              <w:t>1、收费平台</w:t>
            </w:r>
          </w:p>
        </w:tc>
        <w:tc>
          <w:tcPr>
            <w:tcW w:w="6316" w:type="dxa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本地化部署的收费平台，能够满足学校的全部缴费管理业务，与各业务部门现有管理软件进行对接。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2、销售大表</w:t>
            </w:r>
          </w:p>
        </w:tc>
        <w:tc>
          <w:tcPr>
            <w:tcW w:w="6316" w:type="dxa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准确计算并管理全部教育教学服务对象购买各类服务（学历教育、非学历教育、住宿、项目合作等）的应收、实收、欠费、收入确认、退费、已开票、未开票、红冲发票金额、发票号。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3、欠缴子表</w:t>
            </w:r>
          </w:p>
        </w:tc>
        <w:tc>
          <w:tcPr>
            <w:tcW w:w="6316" w:type="dxa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可以查询客户的应收、实收、欠费、退费、开票情况，由业务部门跟踪欠缴状态，分析应收账款回收可能性，计算坏账准备。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4、电子发票</w:t>
            </w:r>
          </w:p>
        </w:tc>
        <w:tc>
          <w:tcPr>
            <w:tcW w:w="6316" w:type="dxa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可以根据销售大表开具、红字电子发票，具备开票票据登记备查功能。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5、代办费管理</w:t>
            </w:r>
          </w:p>
        </w:tc>
        <w:tc>
          <w:tcPr>
            <w:tcW w:w="6316" w:type="dxa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</w:t>
            </w:r>
            <w:r w:rsidRPr="00696C8C">
              <w:rPr>
                <w:rFonts w:ascii="宋体" w:hAnsi="宋体" w:hint="eastAsia"/>
              </w:rPr>
              <w:t>代办费收取</w:t>
            </w:r>
            <w:r>
              <w:rPr>
                <w:rFonts w:ascii="宋体" w:hAnsi="宋体" w:hint="eastAsia"/>
              </w:rPr>
              <w:t>（应收、实收、欠费、退费、开票）</w:t>
            </w:r>
            <w:r w:rsidRPr="00696C8C">
              <w:rPr>
                <w:rFonts w:ascii="宋体" w:hAnsi="宋体" w:hint="eastAsia"/>
              </w:rPr>
              <w:t>与支付</w:t>
            </w:r>
            <w:r>
              <w:rPr>
                <w:rFonts w:ascii="宋体" w:hAnsi="宋体" w:hint="eastAsia"/>
              </w:rPr>
              <w:t>（与代办物资的出入库进行对接）进行管理</w:t>
            </w:r>
            <w:r w:rsidRPr="00696C8C">
              <w:rPr>
                <w:rFonts w:ascii="宋体" w:hAnsi="宋体" w:hint="eastAsia"/>
              </w:rPr>
              <w:t>。</w:t>
            </w:r>
            <w:r>
              <w:rPr>
                <w:rFonts w:ascii="宋体" w:hAnsi="宋体" w:hint="eastAsia"/>
              </w:rPr>
              <w:t>代办费结余情况可</w:t>
            </w:r>
            <w:r w:rsidRPr="00696C8C">
              <w:rPr>
                <w:rFonts w:ascii="宋体" w:hAnsi="宋体" w:hint="eastAsia"/>
              </w:rPr>
              <w:t>供学生查阅</w:t>
            </w:r>
            <w:r>
              <w:rPr>
                <w:rFonts w:ascii="宋体" w:hAnsi="宋体" w:hint="eastAsia"/>
              </w:rPr>
              <w:t>、确认</w:t>
            </w:r>
            <w:r w:rsidRPr="00696C8C">
              <w:rPr>
                <w:rFonts w:ascii="宋体" w:hAnsi="宋体" w:hint="eastAsia"/>
              </w:rPr>
              <w:t>。</w:t>
            </w:r>
          </w:p>
        </w:tc>
      </w:tr>
    </w:tbl>
    <w:p w:rsidR="00BA54C5" w:rsidRDefault="00BA54C5" w:rsidP="00BA54C5">
      <w:pPr>
        <w:rPr>
          <w:rFonts w:ascii="宋体" w:hAnsi="宋体"/>
        </w:rPr>
      </w:pPr>
    </w:p>
    <w:p w:rsidR="00BA54C5" w:rsidRPr="0024507C" w:rsidRDefault="00BA54C5" w:rsidP="00BA54C5">
      <w:pPr>
        <w:rPr>
          <w:rFonts w:ascii="宋体" w:hAnsi="宋体"/>
          <w:b/>
          <w:bCs/>
        </w:rPr>
      </w:pPr>
      <w:r w:rsidRPr="0024507C">
        <w:rPr>
          <w:rFonts w:ascii="宋体" w:hAnsi="宋体" w:hint="eastAsia"/>
          <w:b/>
          <w:bCs/>
        </w:rPr>
        <w:t>二、支出</w:t>
      </w:r>
    </w:p>
    <w:tbl>
      <w:tblPr>
        <w:tblStyle w:val="a6"/>
        <w:tblW w:w="0" w:type="auto"/>
        <w:tblLook w:val="04A0"/>
      </w:tblPr>
      <w:tblGrid>
        <w:gridCol w:w="1980"/>
        <w:gridCol w:w="6316"/>
      </w:tblGrid>
      <w:tr w:rsidR="00BA54C5" w:rsidRPr="0078124B" w:rsidTr="00520271">
        <w:tc>
          <w:tcPr>
            <w:tcW w:w="1980" w:type="dxa"/>
          </w:tcPr>
          <w:p w:rsidR="00BA54C5" w:rsidRPr="0078124B" w:rsidRDefault="00BA54C5" w:rsidP="00520271">
            <w:pPr>
              <w:jc w:val="center"/>
              <w:rPr>
                <w:rFonts w:ascii="宋体" w:hAnsi="宋体"/>
              </w:rPr>
            </w:pPr>
            <w:r w:rsidRPr="0078124B">
              <w:rPr>
                <w:rFonts w:ascii="宋体" w:hAnsi="宋体" w:hint="eastAsia"/>
              </w:rPr>
              <w:t>功能名称</w:t>
            </w:r>
          </w:p>
        </w:tc>
        <w:tc>
          <w:tcPr>
            <w:tcW w:w="6316" w:type="dxa"/>
          </w:tcPr>
          <w:p w:rsidR="00BA54C5" w:rsidRPr="0078124B" w:rsidRDefault="00BA54C5" w:rsidP="00520271">
            <w:pPr>
              <w:jc w:val="center"/>
              <w:rPr>
                <w:rFonts w:ascii="宋体" w:hAnsi="宋体"/>
              </w:rPr>
            </w:pPr>
            <w:r w:rsidRPr="0078124B">
              <w:rPr>
                <w:rFonts w:ascii="宋体" w:hAnsi="宋体" w:hint="eastAsia"/>
              </w:rPr>
              <w:t>具体功能要求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1、预算申请</w:t>
            </w:r>
          </w:p>
        </w:tc>
        <w:tc>
          <w:tcPr>
            <w:tcW w:w="6316" w:type="dxa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根据部门（学院），设置项目执行项目管理；项目预算通过预算科目进行编制，具备预算审批功能，</w:t>
            </w:r>
            <w:r>
              <w:rPr>
                <w:rFonts w:ascii="宋体" w:hAnsi="宋体" w:hint="eastAsia"/>
              </w:rPr>
              <w:lastRenderedPageBreak/>
              <w:t>审批预算科目使用的增减变动。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2、预算变更</w:t>
            </w:r>
          </w:p>
        </w:tc>
        <w:tc>
          <w:tcPr>
            <w:tcW w:w="6316" w:type="dxa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可以在预算执行过程中，对预算金额的增减变动进行审批并变更。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3、预算查询</w:t>
            </w:r>
          </w:p>
        </w:tc>
        <w:tc>
          <w:tcPr>
            <w:tcW w:w="6316" w:type="dxa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财务账务处理结果实时传输至预算查询界面，预算的</w:t>
            </w:r>
            <w:r w:rsidRPr="005A42A7">
              <w:rPr>
                <w:rFonts w:ascii="宋体" w:hAnsi="宋体" w:hint="eastAsia"/>
              </w:rPr>
              <w:t>使用者</w:t>
            </w:r>
            <w:r>
              <w:rPr>
                <w:rFonts w:ascii="宋体" w:hAnsi="宋体" w:hint="eastAsia"/>
              </w:rPr>
              <w:t>可实时</w:t>
            </w:r>
            <w:r w:rsidRPr="005A42A7">
              <w:rPr>
                <w:rFonts w:ascii="宋体" w:hAnsi="宋体" w:hint="eastAsia"/>
              </w:rPr>
              <w:t>查看预算使用进度</w:t>
            </w:r>
            <w:r>
              <w:rPr>
                <w:rFonts w:ascii="宋体" w:hAnsi="宋体" w:hint="eastAsia"/>
              </w:rPr>
              <w:t>，管理者可实时查看单一项目预算执行情况、集团预算执行情况。可以出具成本分析报表，主管人员可以分析相应权限的经费使用情况。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4、合同查询</w:t>
            </w:r>
          </w:p>
        </w:tc>
        <w:tc>
          <w:tcPr>
            <w:tcW w:w="6316" w:type="dxa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可以查询合同的履约进度（确认费用的计提）、付款进度（确认费用的支付）、收到发票的进度、预算执行进度情况</w:t>
            </w:r>
            <w:r w:rsidRPr="005A42A7">
              <w:rPr>
                <w:rFonts w:ascii="宋体" w:hAnsi="宋体" w:hint="eastAsia"/>
              </w:rPr>
              <w:t>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5、资产模块</w:t>
            </w:r>
          </w:p>
        </w:tc>
        <w:tc>
          <w:tcPr>
            <w:tcW w:w="6316" w:type="dxa"/>
          </w:tcPr>
          <w:p w:rsidR="00BA54C5" w:rsidRPr="00273503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可以向财务提供资产增减变动的数据（应付暂估、预付）、单据（发票、验收单、入库单），财务审核通过后，自动更新固定资产卡片，计提折旧。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6、报销系统</w:t>
            </w:r>
          </w:p>
        </w:tc>
        <w:tc>
          <w:tcPr>
            <w:tcW w:w="6316" w:type="dxa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报销系统基于现有系统进行如下改造：</w:t>
            </w:r>
          </w:p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1.上市公司体系内不同公司需要有自己的报销流程；</w:t>
            </w:r>
          </w:p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2.报销时，可以看到对应权限的预算执行情况、合同执行、入库情况；</w:t>
            </w:r>
          </w:p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3.报销系统能够对报销进行自动审核，包括：</w:t>
            </w:r>
            <w:r w:rsidRPr="00120FD5">
              <w:rPr>
                <w:rFonts w:ascii="宋体" w:hAnsi="宋体" w:hint="eastAsia"/>
              </w:rPr>
              <w:t>超支报销无法</w:t>
            </w:r>
            <w:r>
              <w:rPr>
                <w:rFonts w:ascii="宋体" w:hAnsi="宋体" w:hint="eastAsia"/>
              </w:rPr>
              <w:t>提交</w:t>
            </w:r>
            <w:r w:rsidRPr="00120FD5">
              <w:rPr>
                <w:rFonts w:ascii="宋体" w:hAnsi="宋体" w:hint="eastAsia"/>
              </w:rPr>
              <w:t>；</w:t>
            </w:r>
            <w:r>
              <w:rPr>
                <w:rFonts w:ascii="宋体" w:hAnsi="宋体" w:hint="eastAsia"/>
              </w:rPr>
              <w:t>超过标准的报销无法提交；</w:t>
            </w:r>
          </w:p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.差旅费报销对接携程、去哪儿等平台，控制出差</w:t>
            </w:r>
            <w:r>
              <w:rPr>
                <w:rFonts w:ascii="宋体" w:hAnsi="宋体" w:hint="eastAsia"/>
              </w:rPr>
              <w:lastRenderedPageBreak/>
              <w:t>人员购票标准、次数；</w:t>
            </w:r>
          </w:p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  <w:r>
              <w:rPr>
                <w:rFonts w:ascii="宋体" w:hAnsi="宋体" w:hint="eastAsia"/>
              </w:rPr>
              <w:t>.财务可以根据审核需要，在网上审核过程中，要求老师在报销平台上传支撑文件，如，</w:t>
            </w:r>
            <w:r w:rsidRPr="00C976C5">
              <w:rPr>
                <w:rFonts w:ascii="宋体" w:hAnsi="宋体" w:hint="eastAsia"/>
              </w:rPr>
              <w:t>活动通知、会议邀请函等</w:t>
            </w:r>
            <w:r>
              <w:rPr>
                <w:rFonts w:ascii="宋体" w:hAnsi="宋体" w:hint="eastAsia"/>
              </w:rPr>
              <w:t>；</w:t>
            </w:r>
          </w:p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.汽车费用报销，</w:t>
            </w:r>
            <w:r w:rsidRPr="00C976C5">
              <w:rPr>
                <w:rFonts w:ascii="宋体" w:hAnsi="宋体" w:hint="eastAsia"/>
              </w:rPr>
              <w:t>须对接手机</w:t>
            </w:r>
            <w:r w:rsidRPr="00C976C5">
              <w:rPr>
                <w:rFonts w:ascii="宋体" w:hAnsi="宋体"/>
              </w:rPr>
              <w:t>GPS，将校车使用、私车公用按照里程折算油费</w:t>
            </w:r>
            <w:r>
              <w:rPr>
                <w:rFonts w:ascii="宋体" w:hAnsi="宋体" w:hint="eastAsia"/>
              </w:rPr>
              <w:t>确认成本费用</w:t>
            </w:r>
            <w:r w:rsidRPr="00C976C5">
              <w:rPr>
                <w:rFonts w:ascii="宋体" w:hAnsi="宋体"/>
              </w:rPr>
              <w:t>；</w:t>
            </w:r>
          </w:p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.可以处理</w:t>
            </w:r>
            <w:r w:rsidRPr="00C976C5">
              <w:rPr>
                <w:rFonts w:ascii="宋体" w:hAnsi="宋体" w:hint="eastAsia"/>
              </w:rPr>
              <w:t>教师借款、备用金申领、核销、还款</w:t>
            </w:r>
            <w:r>
              <w:rPr>
                <w:rFonts w:ascii="宋体" w:hAnsi="宋体" w:hint="eastAsia"/>
              </w:rPr>
              <w:t>；</w:t>
            </w:r>
          </w:p>
          <w:p w:rsidR="00BA54C5" w:rsidRPr="00C976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  <w:r>
              <w:rPr>
                <w:rFonts w:ascii="宋体" w:hAnsi="宋体" w:hint="eastAsia"/>
              </w:rPr>
              <w:t>.</w:t>
            </w:r>
            <w:r w:rsidRPr="00C976C5">
              <w:rPr>
                <w:rFonts w:ascii="宋体" w:hAnsi="宋体" w:hint="eastAsia"/>
              </w:rPr>
              <w:t>可以</w:t>
            </w:r>
            <w:r>
              <w:rPr>
                <w:rFonts w:ascii="宋体" w:hAnsi="宋体" w:hint="eastAsia"/>
              </w:rPr>
              <w:t>有财务人员</w:t>
            </w:r>
            <w:r w:rsidRPr="00C976C5">
              <w:rPr>
                <w:rFonts w:ascii="宋体" w:hAnsi="宋体" w:hint="eastAsia"/>
              </w:rPr>
              <w:t>定义设置外币汇率，员工</w:t>
            </w:r>
            <w:r>
              <w:rPr>
                <w:rFonts w:ascii="宋体" w:hAnsi="宋体" w:hint="eastAsia"/>
              </w:rPr>
              <w:t>报销</w:t>
            </w:r>
            <w:r w:rsidRPr="00C976C5">
              <w:rPr>
                <w:rFonts w:ascii="宋体" w:hAnsi="宋体" w:hint="eastAsia"/>
              </w:rPr>
              <w:t>时，</w:t>
            </w:r>
            <w:r>
              <w:rPr>
                <w:rFonts w:ascii="宋体" w:hAnsi="宋体" w:hint="eastAsia"/>
              </w:rPr>
              <w:t>根据集团执行汇率进行折算；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7、电子发票</w:t>
            </w:r>
          </w:p>
        </w:tc>
        <w:tc>
          <w:tcPr>
            <w:tcW w:w="6316" w:type="dxa"/>
          </w:tcPr>
          <w:p w:rsidR="00BA54C5" w:rsidRPr="00273503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对报销的所有发票进行台账管理，对报销发票可以执行查重、验真，开票。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8、人事核算</w:t>
            </w:r>
          </w:p>
        </w:tc>
        <w:tc>
          <w:tcPr>
            <w:tcW w:w="6316" w:type="dxa"/>
          </w:tcPr>
          <w:p w:rsidR="00BA54C5" w:rsidRPr="00273503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能够核算全职、兼职、校外人员、外国人员的身份信息、银行卡信息、</w:t>
            </w:r>
            <w:r w:rsidRPr="00716509">
              <w:rPr>
                <w:rFonts w:ascii="宋体" w:hAnsi="宋体" w:hint="eastAsia"/>
              </w:rPr>
              <w:t>工资、课时费、加班工资、年金、年终奖、年薪</w:t>
            </w:r>
            <w:r>
              <w:rPr>
                <w:rFonts w:ascii="宋体" w:hAnsi="宋体" w:hint="eastAsia"/>
              </w:rPr>
              <w:t>、社保、劳务费，并进行个人所得税的计算，并与</w:t>
            </w:r>
            <w:r w:rsidRPr="00716509">
              <w:rPr>
                <w:rFonts w:ascii="宋体" w:hAnsi="宋体" w:hint="eastAsia"/>
              </w:rPr>
              <w:t>金税系统</w:t>
            </w:r>
            <w:r>
              <w:rPr>
                <w:rFonts w:ascii="宋体" w:hAnsi="宋体" w:hint="eastAsia"/>
              </w:rPr>
              <w:t>对接。</w:t>
            </w:r>
          </w:p>
        </w:tc>
      </w:tr>
      <w:tr w:rsidR="00BA54C5" w:rsidRPr="00716509" w:rsidTr="00520271">
        <w:tc>
          <w:tcPr>
            <w:tcW w:w="1980" w:type="dxa"/>
            <w:vAlign w:val="center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9、银企直连</w:t>
            </w:r>
          </w:p>
        </w:tc>
        <w:tc>
          <w:tcPr>
            <w:tcW w:w="6316" w:type="dxa"/>
          </w:tcPr>
          <w:p w:rsidR="00BA54C5" w:rsidRPr="00273503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通过银企直连，由财务人员确认审批合格的支出项目进行自动支付的时间，按时自动支付。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10、审核单据派发</w:t>
            </w:r>
          </w:p>
        </w:tc>
        <w:tc>
          <w:tcPr>
            <w:tcW w:w="6316" w:type="dxa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 w:rsidRPr="00273503">
              <w:rPr>
                <w:rFonts w:ascii="宋体" w:hAnsi="宋体" w:hint="eastAsia"/>
              </w:rPr>
              <w:t>具备会计核算的派单功能，根据会计人员的积压的单据数量，进行业务单据的处理流程的派发。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、票据流转</w:t>
            </w:r>
          </w:p>
        </w:tc>
        <w:tc>
          <w:tcPr>
            <w:tcW w:w="6316" w:type="dxa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纸质单据和电子单据的流转可以对应。</w:t>
            </w:r>
          </w:p>
        </w:tc>
      </w:tr>
    </w:tbl>
    <w:p w:rsidR="00BA54C5" w:rsidRDefault="00BA54C5" w:rsidP="00BA54C5">
      <w:pPr>
        <w:rPr>
          <w:rFonts w:ascii="宋体" w:hAnsi="宋体" w:hint="eastAsia"/>
        </w:rPr>
      </w:pPr>
    </w:p>
    <w:p w:rsidR="00BA54C5" w:rsidRDefault="00BA54C5" w:rsidP="00BA54C5">
      <w:pPr>
        <w:rPr>
          <w:rFonts w:ascii="宋体" w:hAnsi="宋体"/>
        </w:rPr>
      </w:pPr>
    </w:p>
    <w:p w:rsidR="00BA54C5" w:rsidRPr="0024507C" w:rsidRDefault="00BA54C5" w:rsidP="00BA54C5">
      <w:pPr>
        <w:rPr>
          <w:rFonts w:ascii="宋体" w:hAnsi="宋体"/>
          <w:b/>
          <w:bCs/>
        </w:rPr>
      </w:pPr>
      <w:r w:rsidRPr="0024507C">
        <w:rPr>
          <w:rFonts w:ascii="宋体" w:hAnsi="宋体" w:hint="eastAsia"/>
          <w:b/>
          <w:bCs/>
        </w:rPr>
        <w:lastRenderedPageBreak/>
        <w:t>三、账务</w:t>
      </w:r>
    </w:p>
    <w:tbl>
      <w:tblPr>
        <w:tblStyle w:val="a6"/>
        <w:tblW w:w="0" w:type="auto"/>
        <w:tblLook w:val="04A0"/>
      </w:tblPr>
      <w:tblGrid>
        <w:gridCol w:w="1980"/>
        <w:gridCol w:w="6316"/>
      </w:tblGrid>
      <w:tr w:rsidR="00BA54C5" w:rsidRPr="0078124B" w:rsidTr="00520271">
        <w:tc>
          <w:tcPr>
            <w:tcW w:w="1980" w:type="dxa"/>
          </w:tcPr>
          <w:p w:rsidR="00BA54C5" w:rsidRPr="0078124B" w:rsidRDefault="00BA54C5" w:rsidP="00520271">
            <w:pPr>
              <w:jc w:val="center"/>
              <w:rPr>
                <w:rFonts w:ascii="宋体" w:hAnsi="宋体"/>
              </w:rPr>
            </w:pPr>
            <w:r w:rsidRPr="0078124B">
              <w:rPr>
                <w:rFonts w:ascii="宋体" w:hAnsi="宋体" w:hint="eastAsia"/>
              </w:rPr>
              <w:t>功能名称</w:t>
            </w:r>
          </w:p>
        </w:tc>
        <w:tc>
          <w:tcPr>
            <w:tcW w:w="6316" w:type="dxa"/>
          </w:tcPr>
          <w:p w:rsidR="00BA54C5" w:rsidRPr="0078124B" w:rsidRDefault="00BA54C5" w:rsidP="00520271">
            <w:pPr>
              <w:jc w:val="center"/>
              <w:rPr>
                <w:rFonts w:ascii="宋体" w:hAnsi="宋体"/>
              </w:rPr>
            </w:pPr>
            <w:r w:rsidRPr="0078124B">
              <w:rPr>
                <w:rFonts w:ascii="宋体" w:hAnsi="宋体" w:hint="eastAsia"/>
              </w:rPr>
              <w:t>具体功能要求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1、会计凭证</w:t>
            </w:r>
          </w:p>
        </w:tc>
        <w:tc>
          <w:tcPr>
            <w:tcW w:w="6316" w:type="dxa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会计凭证自动化率达到8</w:t>
            </w:r>
            <w:r>
              <w:rPr>
                <w:rFonts w:ascii="宋体" w:hAnsi="宋体"/>
              </w:rPr>
              <w:t>5%-90%</w:t>
            </w:r>
            <w:r>
              <w:rPr>
                <w:rFonts w:ascii="宋体" w:hAnsi="宋体" w:hint="eastAsia"/>
              </w:rPr>
              <w:t>，核算方法同时满足中国会计准则和国际会计准则。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2、会计账簿</w:t>
            </w:r>
          </w:p>
        </w:tc>
        <w:tc>
          <w:tcPr>
            <w:tcW w:w="6316" w:type="dxa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能够按照部门、供应商、项目进行明细账核算、账龄分析；</w:t>
            </w:r>
            <w:r w:rsidRPr="00273503">
              <w:rPr>
                <w:rFonts w:ascii="宋体" w:hAnsi="宋体" w:hint="eastAsia"/>
              </w:rPr>
              <w:t>能够跨越任意多个会计期间，对特定事项、特定项目、财务报表整体情况进行查询</w:t>
            </w:r>
            <w:r>
              <w:rPr>
                <w:rFonts w:ascii="宋体" w:hAnsi="宋体" w:hint="eastAsia"/>
              </w:rPr>
              <w:t>、溯源；能够提供固定资产、无形资产、在建工程、往来供应商、项目经费明细账等。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3、会计报表</w:t>
            </w:r>
          </w:p>
        </w:tc>
        <w:tc>
          <w:tcPr>
            <w:tcW w:w="6316" w:type="dxa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能够出具单体报表和合并报表；能够出具单体、合并科目余额表；能够出具单体、合并财务报表附注。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4、财务共享</w:t>
            </w:r>
          </w:p>
        </w:tc>
        <w:tc>
          <w:tcPr>
            <w:tcW w:w="6316" w:type="dxa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按各流程划分，单个用户可以执行多账套管理，会计期间可以随意切换。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5、财务电子档案</w:t>
            </w:r>
          </w:p>
        </w:tc>
        <w:tc>
          <w:tcPr>
            <w:tcW w:w="6316" w:type="dxa"/>
          </w:tcPr>
          <w:p w:rsidR="00BA54C5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具备电子财务档案归档功能，按照国家法律法规规定进行财务电子数据归档。</w:t>
            </w:r>
          </w:p>
        </w:tc>
      </w:tr>
      <w:tr w:rsidR="00BA54C5" w:rsidRPr="0078124B" w:rsidTr="00520271">
        <w:tc>
          <w:tcPr>
            <w:tcW w:w="1980" w:type="dxa"/>
            <w:vAlign w:val="center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6、对接海天</w:t>
            </w:r>
          </w:p>
        </w:tc>
        <w:tc>
          <w:tcPr>
            <w:tcW w:w="6316" w:type="dxa"/>
          </w:tcPr>
          <w:p w:rsidR="00BA54C5" w:rsidRPr="0078124B" w:rsidRDefault="00BA54C5" w:rsidP="0052027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对接现有的海天记账软件、多次重复对接。</w:t>
            </w:r>
          </w:p>
        </w:tc>
      </w:tr>
    </w:tbl>
    <w:p w:rsidR="00BA54C5" w:rsidRPr="00745899" w:rsidRDefault="00BA54C5" w:rsidP="00BA54C5">
      <w:pPr>
        <w:rPr>
          <w:rFonts w:ascii="宋体" w:hAnsi="宋体"/>
        </w:rPr>
      </w:pPr>
    </w:p>
    <w:p w:rsidR="007A7817" w:rsidRPr="00BA54C5" w:rsidRDefault="007A7817" w:rsidP="00BA54C5"/>
    <w:sectPr w:rsidR="007A7817" w:rsidRPr="00BA54C5" w:rsidSect="00744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9EB" w:rsidRDefault="00D019EB" w:rsidP="006C2FBB">
      <w:r>
        <w:separator/>
      </w:r>
    </w:p>
  </w:endnote>
  <w:endnote w:type="continuationSeparator" w:id="1">
    <w:p w:rsidR="00D019EB" w:rsidRDefault="00D019EB" w:rsidP="006C2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9EB" w:rsidRDefault="00D019EB" w:rsidP="006C2FBB">
      <w:r>
        <w:separator/>
      </w:r>
    </w:p>
  </w:footnote>
  <w:footnote w:type="continuationSeparator" w:id="1">
    <w:p w:rsidR="00D019EB" w:rsidRDefault="00D019EB" w:rsidP="006C2F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FBB"/>
    <w:rsid w:val="003978FC"/>
    <w:rsid w:val="006C2FBB"/>
    <w:rsid w:val="007A7817"/>
    <w:rsid w:val="007E2D54"/>
    <w:rsid w:val="00BA54C5"/>
    <w:rsid w:val="00D01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BB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2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2F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2F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2FB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C2F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C2FBB"/>
    <w:rPr>
      <w:sz w:val="18"/>
      <w:szCs w:val="18"/>
    </w:rPr>
  </w:style>
  <w:style w:type="table" w:styleId="a6">
    <w:name w:val="Table Grid"/>
    <w:basedOn w:val="a1"/>
    <w:uiPriority w:val="39"/>
    <w:rsid w:val="00BA5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dcterms:created xsi:type="dcterms:W3CDTF">2020-12-08T03:00:00Z</dcterms:created>
  <dcterms:modified xsi:type="dcterms:W3CDTF">2021-06-02T02:27:00Z</dcterms:modified>
</cp:coreProperties>
</file>