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F26" w:rsidRDefault="00DC6F26" w:rsidP="00DC6F26">
      <w:pPr>
        <w:spacing w:line="360" w:lineRule="auto"/>
        <w:rPr>
          <w:b/>
          <w:sz w:val="24"/>
          <w:szCs w:val="24"/>
        </w:rPr>
      </w:pPr>
      <w:r>
        <w:rPr>
          <w:rFonts w:hint="eastAsia"/>
          <w:b/>
          <w:sz w:val="24"/>
          <w:szCs w:val="24"/>
        </w:rPr>
        <w:t>1</w:t>
      </w:r>
      <w:r>
        <w:rPr>
          <w:rFonts w:hint="eastAsia"/>
          <w:b/>
          <w:sz w:val="24"/>
          <w:szCs w:val="24"/>
        </w:rPr>
        <w:t>．目的</w:t>
      </w:r>
    </w:p>
    <w:p w:rsidR="00DC6F26" w:rsidRDefault="00DC6F26" w:rsidP="00DC6F26">
      <w:pPr>
        <w:spacing w:line="360" w:lineRule="auto"/>
        <w:ind w:firstLineChars="200" w:firstLine="480"/>
        <w:rPr>
          <w:sz w:val="24"/>
          <w:szCs w:val="24"/>
        </w:rPr>
      </w:pPr>
      <w:r>
        <w:rPr>
          <w:rFonts w:hint="eastAsia"/>
          <w:sz w:val="24"/>
          <w:szCs w:val="24"/>
        </w:rPr>
        <w:t>为全面贯彻党和国家的教育方针，充分调动学生学习积极性和学生干部的工作积极性，建设优良的校风、学风，保障学生合法权益，培养德、智、体、美、</w:t>
      </w:r>
      <w:proofErr w:type="gramStart"/>
      <w:r>
        <w:rPr>
          <w:rFonts w:hint="eastAsia"/>
          <w:sz w:val="24"/>
          <w:szCs w:val="24"/>
        </w:rPr>
        <w:t>劳</w:t>
      </w:r>
      <w:proofErr w:type="gramEnd"/>
      <w:r>
        <w:rPr>
          <w:rFonts w:hint="eastAsia"/>
          <w:sz w:val="24"/>
          <w:szCs w:val="24"/>
        </w:rPr>
        <w:t>全面发展的社会主义建设者和接班人。做</w:t>
      </w:r>
      <w:r>
        <w:rPr>
          <w:sz w:val="24"/>
          <w:szCs w:val="24"/>
        </w:rPr>
        <w:t>好校奖学金、优秀学生、优秀学生干部及先进班集体的评选工作。</w:t>
      </w:r>
    </w:p>
    <w:p w:rsidR="00DC6F26" w:rsidRDefault="00DC6F26" w:rsidP="00DC6F26">
      <w:pPr>
        <w:spacing w:line="360" w:lineRule="auto"/>
        <w:ind w:firstLineChars="200" w:firstLine="480"/>
        <w:rPr>
          <w:sz w:val="24"/>
          <w:szCs w:val="24"/>
        </w:rPr>
      </w:pPr>
    </w:p>
    <w:p w:rsidR="00DC6F26" w:rsidRDefault="00DC6F26" w:rsidP="00DC6F26">
      <w:pPr>
        <w:spacing w:line="360" w:lineRule="auto"/>
        <w:rPr>
          <w:b/>
          <w:sz w:val="24"/>
          <w:szCs w:val="24"/>
        </w:rPr>
      </w:pPr>
      <w:r>
        <w:rPr>
          <w:rFonts w:hint="eastAsia"/>
          <w:b/>
          <w:sz w:val="24"/>
          <w:szCs w:val="24"/>
        </w:rPr>
        <w:t>2</w:t>
      </w:r>
      <w:r>
        <w:rPr>
          <w:rFonts w:hint="eastAsia"/>
          <w:b/>
          <w:sz w:val="24"/>
          <w:szCs w:val="24"/>
        </w:rPr>
        <w:t>．适用范围</w:t>
      </w:r>
    </w:p>
    <w:p w:rsidR="00DC6F26" w:rsidRDefault="00DC6F26" w:rsidP="00DC6F26">
      <w:pPr>
        <w:spacing w:line="360" w:lineRule="auto"/>
        <w:ind w:firstLineChars="200" w:firstLine="480"/>
        <w:rPr>
          <w:sz w:val="24"/>
          <w:szCs w:val="24"/>
        </w:rPr>
      </w:pPr>
      <w:r>
        <w:rPr>
          <w:rFonts w:hint="eastAsia"/>
          <w:sz w:val="24"/>
          <w:szCs w:val="24"/>
        </w:rPr>
        <w:t>适用于全校范围。</w:t>
      </w:r>
      <w:r>
        <w:rPr>
          <w:rFonts w:hint="eastAsia"/>
          <w:sz w:val="24"/>
          <w:szCs w:val="24"/>
        </w:rPr>
        <w:t xml:space="preserve"> </w:t>
      </w:r>
    </w:p>
    <w:p w:rsidR="00DC6F26" w:rsidRDefault="00DC6F26" w:rsidP="00DC6F26">
      <w:pPr>
        <w:spacing w:line="360" w:lineRule="auto"/>
        <w:ind w:firstLineChars="200" w:firstLine="480"/>
        <w:rPr>
          <w:sz w:val="24"/>
          <w:szCs w:val="24"/>
        </w:rPr>
      </w:pPr>
    </w:p>
    <w:p w:rsidR="00DC6F26" w:rsidRDefault="00DC6F26" w:rsidP="00DC6F26">
      <w:pPr>
        <w:spacing w:line="360" w:lineRule="auto"/>
        <w:rPr>
          <w:b/>
          <w:sz w:val="24"/>
          <w:szCs w:val="24"/>
        </w:rPr>
      </w:pPr>
      <w:r>
        <w:rPr>
          <w:rFonts w:hint="eastAsia"/>
          <w:b/>
          <w:sz w:val="24"/>
          <w:szCs w:val="24"/>
        </w:rPr>
        <w:t>3</w:t>
      </w:r>
      <w:r>
        <w:rPr>
          <w:rFonts w:hint="eastAsia"/>
          <w:b/>
          <w:sz w:val="24"/>
          <w:szCs w:val="24"/>
        </w:rPr>
        <w:t>．定义</w:t>
      </w:r>
    </w:p>
    <w:p w:rsidR="00DC6F26" w:rsidRDefault="00DC6F26" w:rsidP="00DC6F26">
      <w:pPr>
        <w:spacing w:line="360" w:lineRule="auto"/>
        <w:ind w:firstLineChars="200" w:firstLine="480"/>
        <w:rPr>
          <w:sz w:val="24"/>
          <w:szCs w:val="24"/>
        </w:rPr>
      </w:pPr>
      <w:r>
        <w:rPr>
          <w:rFonts w:hint="eastAsia"/>
          <w:sz w:val="24"/>
          <w:szCs w:val="24"/>
        </w:rPr>
        <w:t>无。</w:t>
      </w:r>
    </w:p>
    <w:p w:rsidR="00DC6F26" w:rsidRDefault="00DC6F26" w:rsidP="00DC6F26">
      <w:pPr>
        <w:spacing w:line="360" w:lineRule="auto"/>
        <w:ind w:firstLineChars="200" w:firstLine="480"/>
        <w:rPr>
          <w:sz w:val="24"/>
          <w:szCs w:val="24"/>
        </w:rPr>
      </w:pPr>
    </w:p>
    <w:p w:rsidR="00DC6F26" w:rsidRDefault="00DC6F26" w:rsidP="00DC6F26">
      <w:pPr>
        <w:spacing w:line="360" w:lineRule="auto"/>
        <w:rPr>
          <w:b/>
          <w:sz w:val="24"/>
          <w:szCs w:val="24"/>
        </w:rPr>
      </w:pPr>
      <w:r>
        <w:rPr>
          <w:rFonts w:hint="eastAsia"/>
          <w:b/>
          <w:sz w:val="24"/>
          <w:szCs w:val="24"/>
        </w:rPr>
        <w:t>4</w:t>
      </w:r>
      <w:r>
        <w:rPr>
          <w:rFonts w:hint="eastAsia"/>
          <w:b/>
          <w:sz w:val="24"/>
          <w:szCs w:val="24"/>
        </w:rPr>
        <w:t>．职责</w:t>
      </w:r>
    </w:p>
    <w:p w:rsidR="00DC6F26" w:rsidRDefault="00DC6F26" w:rsidP="00DC6F26">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sz w:val="24"/>
          <w:szCs w:val="24"/>
        </w:rPr>
        <w:t>1</w:t>
      </w:r>
      <w:r>
        <w:rPr>
          <w:rFonts w:asciiTheme="minorEastAsia" w:hAnsiTheme="minorEastAsia" w:hint="eastAsia"/>
          <w:sz w:val="24"/>
          <w:szCs w:val="24"/>
        </w:rPr>
        <w:t>辅导</w:t>
      </w:r>
      <w:r>
        <w:rPr>
          <w:rFonts w:asciiTheme="minorEastAsia" w:hAnsiTheme="minorEastAsia"/>
          <w:sz w:val="24"/>
          <w:szCs w:val="24"/>
        </w:rPr>
        <w:t>员：负责组织班级的奖学金、优秀学生、优秀学生干部的评</w:t>
      </w:r>
      <w:r>
        <w:rPr>
          <w:rFonts w:asciiTheme="minorEastAsia" w:hAnsiTheme="minorEastAsia" w:hint="eastAsia"/>
          <w:sz w:val="24"/>
          <w:szCs w:val="24"/>
        </w:rPr>
        <w:t>选</w:t>
      </w:r>
      <w:r>
        <w:rPr>
          <w:rFonts w:asciiTheme="minorEastAsia" w:hAnsiTheme="minorEastAsia"/>
          <w:sz w:val="24"/>
          <w:szCs w:val="24"/>
        </w:rPr>
        <w:t>，并在班级公示。</w:t>
      </w:r>
    </w:p>
    <w:p w:rsidR="00DC6F26" w:rsidRDefault="00DC6F26" w:rsidP="00DC6F26">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4.2</w:t>
      </w:r>
      <w:proofErr w:type="gramStart"/>
      <w:r>
        <w:rPr>
          <w:rFonts w:asciiTheme="minorEastAsia" w:hAnsiTheme="minorEastAsia" w:hint="eastAsia"/>
          <w:sz w:val="24"/>
          <w:szCs w:val="24"/>
        </w:rPr>
        <w:t>各</w:t>
      </w:r>
      <w:proofErr w:type="gramEnd"/>
      <w:r>
        <w:rPr>
          <w:rFonts w:asciiTheme="minorEastAsia" w:hAnsiTheme="minorEastAsia" w:hint="eastAsia"/>
          <w:sz w:val="24"/>
          <w:szCs w:val="24"/>
        </w:rPr>
        <w:t>学院：成立</w:t>
      </w:r>
      <w:r>
        <w:rPr>
          <w:rFonts w:asciiTheme="minorEastAsia" w:hAnsiTheme="minorEastAsia"/>
          <w:sz w:val="24"/>
          <w:szCs w:val="24"/>
        </w:rPr>
        <w:t>评优工作组，</w:t>
      </w:r>
      <w:r>
        <w:rPr>
          <w:rFonts w:asciiTheme="minorEastAsia" w:hAnsiTheme="minorEastAsia" w:hint="eastAsia"/>
          <w:sz w:val="24"/>
          <w:szCs w:val="24"/>
        </w:rPr>
        <w:t>指</w:t>
      </w:r>
      <w:r>
        <w:rPr>
          <w:rFonts w:asciiTheme="minorEastAsia" w:hAnsiTheme="minorEastAsia"/>
          <w:sz w:val="24"/>
          <w:szCs w:val="24"/>
        </w:rPr>
        <w:t>导各班级开展学年评优</w:t>
      </w:r>
      <w:r>
        <w:rPr>
          <w:rFonts w:asciiTheme="minorEastAsia" w:hAnsiTheme="minorEastAsia" w:hint="eastAsia"/>
          <w:sz w:val="24"/>
          <w:szCs w:val="24"/>
        </w:rPr>
        <w:t>；对</w:t>
      </w:r>
      <w:r>
        <w:rPr>
          <w:rFonts w:asciiTheme="minorEastAsia" w:hAnsiTheme="minorEastAsia"/>
          <w:sz w:val="24"/>
          <w:szCs w:val="24"/>
        </w:rPr>
        <w:t>照要求做好先进</w:t>
      </w:r>
      <w:r>
        <w:rPr>
          <w:rFonts w:asciiTheme="minorEastAsia" w:hAnsiTheme="minorEastAsia" w:hint="eastAsia"/>
          <w:sz w:val="24"/>
          <w:szCs w:val="24"/>
        </w:rPr>
        <w:t>班</w:t>
      </w:r>
      <w:r>
        <w:rPr>
          <w:rFonts w:asciiTheme="minorEastAsia" w:hAnsiTheme="minorEastAsia"/>
          <w:sz w:val="24"/>
          <w:szCs w:val="24"/>
        </w:rPr>
        <w:t>集</w:t>
      </w:r>
      <w:r>
        <w:rPr>
          <w:rFonts w:asciiTheme="minorEastAsia" w:hAnsiTheme="minorEastAsia" w:hint="eastAsia"/>
          <w:sz w:val="24"/>
          <w:szCs w:val="24"/>
        </w:rPr>
        <w:t>体</w:t>
      </w:r>
      <w:r>
        <w:rPr>
          <w:rFonts w:asciiTheme="minorEastAsia" w:hAnsiTheme="minorEastAsia"/>
          <w:sz w:val="24"/>
          <w:szCs w:val="24"/>
        </w:rPr>
        <w:t>的评选。</w:t>
      </w:r>
    </w:p>
    <w:p w:rsidR="00DC6F26" w:rsidRDefault="00DC6F26" w:rsidP="00DC6F26">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sz w:val="24"/>
          <w:szCs w:val="24"/>
        </w:rPr>
        <w:t>3</w:t>
      </w:r>
      <w:r>
        <w:rPr>
          <w:rFonts w:asciiTheme="minorEastAsia" w:hAnsiTheme="minorEastAsia" w:hint="eastAsia"/>
          <w:sz w:val="24"/>
          <w:szCs w:val="24"/>
        </w:rPr>
        <w:t>学生处：布</w:t>
      </w:r>
      <w:r>
        <w:rPr>
          <w:rFonts w:asciiTheme="minorEastAsia" w:hAnsiTheme="minorEastAsia"/>
          <w:sz w:val="24"/>
          <w:szCs w:val="24"/>
        </w:rPr>
        <w:t>置和指导各学院的学年评优工作，并对学院</w:t>
      </w:r>
      <w:r>
        <w:rPr>
          <w:rFonts w:asciiTheme="minorEastAsia" w:hAnsiTheme="minorEastAsia" w:hint="eastAsia"/>
          <w:sz w:val="24"/>
          <w:szCs w:val="24"/>
        </w:rPr>
        <w:t>报</w:t>
      </w:r>
      <w:r>
        <w:rPr>
          <w:rFonts w:asciiTheme="minorEastAsia" w:hAnsiTheme="minorEastAsia"/>
          <w:sz w:val="24"/>
          <w:szCs w:val="24"/>
        </w:rPr>
        <w:t>送的评优结果进行审核；组织学年评优表彰大会，颁发相应奖励。</w:t>
      </w:r>
    </w:p>
    <w:p w:rsidR="00DC6F26" w:rsidRDefault="00DC6F26" w:rsidP="00DC6F26">
      <w:pPr>
        <w:spacing w:line="360" w:lineRule="auto"/>
        <w:ind w:left="480" w:hangingChars="200" w:hanging="480"/>
        <w:rPr>
          <w:rFonts w:asciiTheme="minorEastAsia" w:hAnsiTheme="minorEastAsia"/>
          <w:sz w:val="24"/>
          <w:szCs w:val="24"/>
        </w:rPr>
      </w:pPr>
      <w:r>
        <w:rPr>
          <w:rFonts w:asciiTheme="minorEastAsia" w:hAnsiTheme="minorEastAsia"/>
          <w:sz w:val="24"/>
          <w:szCs w:val="24"/>
        </w:rPr>
        <w:t>4.4</w:t>
      </w:r>
      <w:r>
        <w:rPr>
          <w:rFonts w:asciiTheme="minorEastAsia" w:hAnsiTheme="minorEastAsia" w:hint="eastAsia"/>
          <w:sz w:val="24"/>
          <w:szCs w:val="24"/>
        </w:rPr>
        <w:t>教</w:t>
      </w:r>
      <w:r>
        <w:rPr>
          <w:rFonts w:asciiTheme="minorEastAsia" w:hAnsiTheme="minorEastAsia"/>
          <w:sz w:val="24"/>
          <w:szCs w:val="24"/>
        </w:rPr>
        <w:t>务处</w:t>
      </w:r>
      <w:r>
        <w:rPr>
          <w:rFonts w:asciiTheme="minorEastAsia" w:hAnsiTheme="minorEastAsia" w:hint="eastAsia"/>
          <w:sz w:val="24"/>
          <w:szCs w:val="24"/>
        </w:rPr>
        <w:t>：会</w:t>
      </w:r>
      <w:r>
        <w:rPr>
          <w:rFonts w:asciiTheme="minorEastAsia" w:hAnsiTheme="minorEastAsia"/>
          <w:sz w:val="24"/>
          <w:szCs w:val="24"/>
        </w:rPr>
        <w:t>同学生处对学生的测评分数</w:t>
      </w:r>
      <w:r>
        <w:rPr>
          <w:rFonts w:asciiTheme="minorEastAsia" w:hAnsiTheme="minorEastAsia" w:hint="eastAsia"/>
          <w:sz w:val="24"/>
          <w:szCs w:val="24"/>
        </w:rPr>
        <w:t>特别</w:t>
      </w:r>
      <w:r>
        <w:rPr>
          <w:rFonts w:asciiTheme="minorEastAsia" w:hAnsiTheme="minorEastAsia"/>
          <w:sz w:val="24"/>
          <w:szCs w:val="24"/>
        </w:rPr>
        <w:t>是智育分</w:t>
      </w:r>
      <w:r>
        <w:rPr>
          <w:rFonts w:asciiTheme="minorEastAsia" w:hAnsiTheme="minorEastAsia" w:hint="eastAsia"/>
          <w:sz w:val="24"/>
          <w:szCs w:val="24"/>
        </w:rPr>
        <w:t>情</w:t>
      </w:r>
      <w:r>
        <w:rPr>
          <w:rFonts w:asciiTheme="minorEastAsia" w:hAnsiTheme="minorEastAsia"/>
          <w:sz w:val="24"/>
          <w:szCs w:val="24"/>
        </w:rPr>
        <w:t>况进行审核。</w:t>
      </w:r>
    </w:p>
    <w:p w:rsidR="00DC6F26" w:rsidRDefault="00DC6F26" w:rsidP="00DC6F26">
      <w:pPr>
        <w:spacing w:line="360" w:lineRule="auto"/>
        <w:ind w:left="480" w:hangingChars="200" w:hanging="480"/>
        <w:rPr>
          <w:rFonts w:asciiTheme="minorEastAsia" w:hAnsiTheme="minorEastAsia"/>
          <w:sz w:val="24"/>
          <w:szCs w:val="24"/>
        </w:rPr>
      </w:pPr>
    </w:p>
    <w:p w:rsidR="00DC6F26" w:rsidRDefault="00DC6F26" w:rsidP="00DC6F26">
      <w:pPr>
        <w:spacing w:line="360" w:lineRule="auto"/>
        <w:rPr>
          <w:b/>
          <w:sz w:val="24"/>
          <w:szCs w:val="24"/>
        </w:rPr>
      </w:pPr>
      <w:r>
        <w:rPr>
          <w:b/>
          <w:sz w:val="24"/>
          <w:szCs w:val="24"/>
        </w:rPr>
        <w:t>5</w:t>
      </w:r>
      <w:r>
        <w:rPr>
          <w:rFonts w:hint="eastAsia"/>
          <w:b/>
          <w:sz w:val="24"/>
          <w:szCs w:val="24"/>
        </w:rPr>
        <w:t>．管理内容</w:t>
      </w:r>
    </w:p>
    <w:p w:rsidR="00DC6F26" w:rsidRDefault="00DC6F26" w:rsidP="00DC6F26">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5.1 奖学金的评选</w:t>
      </w:r>
    </w:p>
    <w:p w:rsidR="00DC6F26" w:rsidRDefault="00DC6F26" w:rsidP="00DC6F26">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5.1.1奖学金评定比例及标准如下：</w:t>
      </w:r>
    </w:p>
    <w:p w:rsidR="00DC6F26" w:rsidRDefault="00DC6F26" w:rsidP="00DC6F26">
      <w:pPr>
        <w:spacing w:line="360" w:lineRule="auto"/>
        <w:ind w:left="480" w:hangingChars="200" w:hanging="480"/>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）卓越奖学金：为各专业年级或班级学生总数的2‰，每人每学年10000元；</w:t>
      </w:r>
    </w:p>
    <w:p w:rsidR="00DC6F26" w:rsidRDefault="00DC6F26" w:rsidP="00DC6F26">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2）特等奖学金：为各专业年级或班级学生总数的2%，每人每学年3000元；</w:t>
      </w:r>
    </w:p>
    <w:p w:rsidR="00DC6F26" w:rsidRDefault="00DC6F26" w:rsidP="00DC6F26">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3）一等奖学金：为各专业年级或班级学生总数的2%，每人每学年1500元；</w:t>
      </w:r>
    </w:p>
    <w:p w:rsidR="00DC6F26" w:rsidRDefault="00DC6F26" w:rsidP="00DC6F26">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4）二等奖学金：为各专业年级或班级学生总数的8%，每人每学年800元；</w:t>
      </w:r>
    </w:p>
    <w:p w:rsidR="00DC6F26" w:rsidRDefault="00DC6F26" w:rsidP="00DC6F26">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5）三等奖学金：为各专业年级或班级学生总数的16%，每人每学年500元；</w:t>
      </w:r>
    </w:p>
    <w:p w:rsidR="00DC6F26" w:rsidRDefault="00DC6F26" w:rsidP="00DC6F26">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lastRenderedPageBreak/>
        <w:t>5.1.2奖学金获得者的条件</w:t>
      </w:r>
    </w:p>
    <w:p w:rsidR="00DC6F26" w:rsidRDefault="00DC6F26" w:rsidP="00DC6F26">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1）严格遵守国家法律和模范执行《高等学校学生行为准则》及学校各项规章制度，积极参加各种集体活动，有良好的道德品质和文明行为，尊敬师长、团结同学，所在寝室被评为“合格之家”寝室及以上。</w:t>
      </w:r>
    </w:p>
    <w:p w:rsidR="00DC6F26" w:rsidRDefault="00DC6F26" w:rsidP="00DC6F26">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2）热爱专业，勤奋学习，刻苦钻研，基础理论和专业知识学得扎实，实践教学环节认真踏实，学习成绩优良。</w:t>
      </w:r>
    </w:p>
    <w:p w:rsidR="00DC6F26" w:rsidRDefault="00DC6F26" w:rsidP="00DC6F26">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3）按学生德、智、体综合测评总成绩名次顺序决定所获奖学金等级且原则上符合下列附表中各等级奖学金的条件。</w:t>
      </w:r>
    </w:p>
    <w:p w:rsidR="00DC6F26" w:rsidRDefault="00DC6F26" w:rsidP="00DC6F26">
      <w:pPr>
        <w:spacing w:line="360" w:lineRule="auto"/>
        <w:ind w:left="480" w:hangingChars="200" w:hanging="480"/>
        <w:rPr>
          <w:rFonts w:asciiTheme="minorEastAsia" w:hAnsiTheme="minorEastAsia"/>
          <w:sz w:val="24"/>
          <w:szCs w:val="24"/>
        </w:rPr>
      </w:pPr>
      <w:r>
        <w:rPr>
          <w:rFonts w:asciiTheme="minorEastAsia" w:hAnsiTheme="minorEastAsia"/>
          <w:sz w:val="24"/>
          <w:szCs w:val="24"/>
        </w:rPr>
        <w:t>4</w:t>
      </w:r>
      <w:r>
        <w:rPr>
          <w:rFonts w:asciiTheme="minorEastAsia" w:hAnsiTheme="minorEastAsia" w:hint="eastAsia"/>
          <w:sz w:val="24"/>
          <w:szCs w:val="24"/>
        </w:rPr>
        <w:t>）卓越奖学金由各学院按参评人数的2‰择优推荐评选。各学院应好中选优，推荐报送最优秀、综合实力最强的学生。学校层面将择优差额评选。同一学年获得雷锋金质奖章或在创新创业等方面取得突出成绩的学生优先考虑。卓越奖学金获得者与同一学年的国家奖学金挂钩，优先作为国家奖学金推荐对象。评选时填写《奖学金汇总表》。</w:t>
      </w:r>
    </w:p>
    <w:p w:rsidR="00DC6F26" w:rsidRDefault="00DC6F26" w:rsidP="00DC6F26">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5.1.3</w:t>
      </w:r>
      <w:proofErr w:type="gramStart"/>
      <w:r>
        <w:rPr>
          <w:rFonts w:asciiTheme="minorEastAsia" w:hAnsiTheme="minorEastAsia" w:hint="eastAsia"/>
          <w:sz w:val="24"/>
          <w:szCs w:val="24"/>
        </w:rPr>
        <w:t>各</w:t>
      </w:r>
      <w:proofErr w:type="gramEnd"/>
      <w:r>
        <w:rPr>
          <w:rFonts w:asciiTheme="minorEastAsia" w:hAnsiTheme="minorEastAsia" w:hint="eastAsia"/>
          <w:sz w:val="24"/>
          <w:szCs w:val="24"/>
        </w:rPr>
        <w:t>类奖学金成绩标准（指初考成绩，不含补考）</w:t>
      </w:r>
    </w:p>
    <w:tbl>
      <w:tblPr>
        <w:tblW w:w="8387" w:type="dxa"/>
        <w:tblInd w:w="113" w:type="dxa"/>
        <w:tblLayout w:type="fixed"/>
        <w:tblLook w:val="04A0" w:firstRow="1" w:lastRow="0" w:firstColumn="1" w:lastColumn="0" w:noHBand="0" w:noVBand="1"/>
      </w:tblPr>
      <w:tblGrid>
        <w:gridCol w:w="1555"/>
        <w:gridCol w:w="1140"/>
        <w:gridCol w:w="1080"/>
        <w:gridCol w:w="1800"/>
        <w:gridCol w:w="1678"/>
        <w:gridCol w:w="1134"/>
      </w:tblGrid>
      <w:tr w:rsidR="00DC6F26" w:rsidTr="00F4166B">
        <w:trPr>
          <w:trHeight w:val="968"/>
        </w:trPr>
        <w:tc>
          <w:tcPr>
            <w:tcW w:w="1555" w:type="dxa"/>
            <w:tcBorders>
              <w:top w:val="single" w:sz="4" w:space="0" w:color="auto"/>
              <w:left w:val="single" w:sz="4" w:space="0" w:color="auto"/>
              <w:bottom w:val="single" w:sz="4" w:space="0" w:color="auto"/>
              <w:right w:val="single" w:sz="4" w:space="0" w:color="auto"/>
            </w:tcBorders>
            <w:vAlign w:val="center"/>
          </w:tcPr>
          <w:p w:rsidR="00DC6F26" w:rsidRDefault="00DC6F26" w:rsidP="00F4166B">
            <w:pPr>
              <w:spacing w:beforeLines="50" w:before="156" w:afterLines="50" w:after="156" w:line="300" w:lineRule="exact"/>
              <w:jc w:val="center"/>
              <w:rPr>
                <w:rFonts w:ascii="仿宋_GB2312" w:hAnsi="楷体"/>
                <w:spacing w:val="10"/>
              </w:rPr>
            </w:pPr>
            <w:r>
              <w:fldChar w:fldCharType="begin"/>
            </w:r>
            <w:r>
              <w:instrText xml:space="preserve"> INCLUDEPICTURE "C:\\Users\\zhang\\AppData\\Local\\Temp\\ksohtml\\wps3A42.tmp.png" \* MERGEFORMATINET </w:instrText>
            </w:r>
            <w:r>
              <w:fldChar w:fldCharType="end"/>
            </w:r>
            <w:r>
              <w:fldChar w:fldCharType="begin"/>
            </w:r>
            <w:r>
              <w:instrText xml:space="preserve"> INCLUDEPICTURE "C:\\Users\\zhang\\AppData\\Local\\Temp\\ksohtml\\wps3A43.tmp.png" \* MERGEFORMATINET </w:instrText>
            </w:r>
            <w:r>
              <w:fldChar w:fldCharType="end"/>
            </w:r>
            <w:r>
              <w:fldChar w:fldCharType="begin"/>
            </w:r>
            <w:r>
              <w:instrText xml:space="preserve"> INCLUDEPICTURE "C:\\Users\\zhang\\AppData\\Local\\Temp\\ksohtml\\wps3A44.tmp.png" \* MERGEFORMATINET </w:instrText>
            </w:r>
            <w:r>
              <w:fldChar w:fldCharType="separate"/>
            </w:r>
            <w:r>
              <w:rPr>
                <w:noProof/>
              </w:rPr>
              <w:drawing>
                <wp:inline distT="0" distB="0" distL="114300" distR="114300" wp14:anchorId="6C0D0C13" wp14:editId="4B953601">
                  <wp:extent cx="19050" cy="8255"/>
                  <wp:effectExtent l="0" t="0" r="0" b="0"/>
                  <wp:docPr id="5" name="图片 3" descr="wps3A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wps3A44"/>
                          <pic:cNvPicPr>
                            <a:picLocks noChangeAspect="1"/>
                          </pic:cNvPicPr>
                        </pic:nvPicPr>
                        <pic:blipFill>
                          <a:blip r:embed="rId5"/>
                          <a:stretch>
                            <a:fillRect/>
                          </a:stretch>
                        </pic:blipFill>
                        <pic:spPr>
                          <a:xfrm>
                            <a:off x="0" y="0"/>
                            <a:ext cx="19050" cy="8255"/>
                          </a:xfrm>
                          <a:prstGeom prst="rect">
                            <a:avLst/>
                          </a:prstGeom>
                          <a:noFill/>
                          <a:ln w="9525">
                            <a:noFill/>
                          </a:ln>
                        </pic:spPr>
                      </pic:pic>
                    </a:graphicData>
                  </a:graphic>
                </wp:inline>
              </w:drawing>
            </w:r>
            <w:r>
              <w:fldChar w:fldCharType="end"/>
            </w:r>
            <w:r>
              <w:rPr>
                <w:rFonts w:hint="eastAsia"/>
              </w:rPr>
              <w:t>奖</w:t>
            </w:r>
            <w:r>
              <w:t>项</w:t>
            </w:r>
          </w:p>
        </w:tc>
        <w:tc>
          <w:tcPr>
            <w:tcW w:w="1140" w:type="dxa"/>
            <w:tcBorders>
              <w:top w:val="single" w:sz="4" w:space="0" w:color="auto"/>
              <w:left w:val="nil"/>
              <w:bottom w:val="single" w:sz="4" w:space="0" w:color="auto"/>
              <w:right w:val="single" w:sz="4" w:space="0" w:color="auto"/>
            </w:tcBorders>
            <w:vAlign w:val="center"/>
          </w:tcPr>
          <w:p w:rsidR="00DC6F26" w:rsidRDefault="00DC6F26" w:rsidP="00F4166B">
            <w:pPr>
              <w:spacing w:beforeLines="50" w:before="156" w:afterLines="50" w:after="156" w:line="300" w:lineRule="exact"/>
              <w:jc w:val="center"/>
              <w:rPr>
                <w:rFonts w:ascii="仿宋_GB2312" w:hAnsi="楷体"/>
                <w:spacing w:val="10"/>
              </w:rPr>
            </w:pPr>
            <w:r>
              <w:rPr>
                <w:rFonts w:ascii="仿宋_GB2312" w:hAnsi="楷体"/>
                <w:spacing w:val="10"/>
              </w:rPr>
              <w:t>综合素质测评成绩</w:t>
            </w:r>
          </w:p>
        </w:tc>
        <w:tc>
          <w:tcPr>
            <w:tcW w:w="1080" w:type="dxa"/>
            <w:tcBorders>
              <w:top w:val="single" w:sz="4" w:space="0" w:color="auto"/>
              <w:left w:val="nil"/>
              <w:bottom w:val="single" w:sz="4" w:space="0" w:color="auto"/>
              <w:right w:val="single" w:sz="4" w:space="0" w:color="auto"/>
            </w:tcBorders>
            <w:vAlign w:val="center"/>
          </w:tcPr>
          <w:p w:rsidR="00DC6F26" w:rsidRDefault="00DC6F26" w:rsidP="00F4166B">
            <w:pPr>
              <w:spacing w:beforeLines="50" w:before="156" w:afterLines="50" w:after="156" w:line="300" w:lineRule="exact"/>
              <w:jc w:val="center"/>
              <w:rPr>
                <w:rFonts w:ascii="仿宋_GB2312" w:hAnsi="楷体"/>
                <w:spacing w:val="10"/>
              </w:rPr>
            </w:pPr>
            <w:r>
              <w:rPr>
                <w:rFonts w:ascii="仿宋_GB2312" w:hAnsi="楷体"/>
                <w:spacing w:val="10"/>
              </w:rPr>
              <w:t>学年平均成绩</w:t>
            </w:r>
          </w:p>
        </w:tc>
        <w:tc>
          <w:tcPr>
            <w:tcW w:w="1800" w:type="dxa"/>
            <w:tcBorders>
              <w:top w:val="single" w:sz="4" w:space="0" w:color="auto"/>
              <w:left w:val="nil"/>
              <w:bottom w:val="single" w:sz="4" w:space="0" w:color="auto"/>
              <w:right w:val="single" w:sz="4" w:space="0" w:color="auto"/>
            </w:tcBorders>
            <w:vAlign w:val="center"/>
          </w:tcPr>
          <w:p w:rsidR="00DC6F26" w:rsidRDefault="00DC6F26" w:rsidP="00F4166B">
            <w:pPr>
              <w:spacing w:beforeLines="50" w:before="156" w:afterLines="50" w:after="156" w:line="300" w:lineRule="exact"/>
              <w:jc w:val="center"/>
              <w:rPr>
                <w:rFonts w:ascii="仿宋_GB2312" w:hAnsi="楷体"/>
                <w:spacing w:val="10"/>
              </w:rPr>
            </w:pPr>
            <w:r>
              <w:rPr>
                <w:rFonts w:ascii="仿宋_GB2312" w:hAnsi="楷体"/>
                <w:spacing w:val="10"/>
              </w:rPr>
              <w:t>智育单科</w:t>
            </w:r>
            <w:r>
              <w:rPr>
                <w:rFonts w:ascii="仿宋_GB2312" w:hAnsi="楷体"/>
                <w:spacing w:val="10"/>
              </w:rPr>
              <w:br/>
            </w:r>
            <w:r>
              <w:rPr>
                <w:rFonts w:ascii="仿宋_GB2312" w:hAnsi="楷体"/>
                <w:spacing w:val="10"/>
              </w:rPr>
              <w:t>成绩</w:t>
            </w:r>
          </w:p>
        </w:tc>
        <w:tc>
          <w:tcPr>
            <w:tcW w:w="1678" w:type="dxa"/>
            <w:tcBorders>
              <w:top w:val="single" w:sz="4" w:space="0" w:color="auto"/>
              <w:left w:val="nil"/>
              <w:bottom w:val="single" w:sz="4" w:space="0" w:color="auto"/>
              <w:right w:val="single" w:sz="4" w:space="0" w:color="auto"/>
            </w:tcBorders>
            <w:vAlign w:val="center"/>
          </w:tcPr>
          <w:p w:rsidR="00DC6F26" w:rsidRDefault="00DC6F26" w:rsidP="00F4166B">
            <w:pPr>
              <w:spacing w:beforeLines="50" w:before="156" w:afterLines="50" w:after="156" w:line="300" w:lineRule="exact"/>
              <w:jc w:val="center"/>
              <w:rPr>
                <w:rFonts w:ascii="仿宋_GB2312" w:hAnsi="楷体"/>
                <w:spacing w:val="10"/>
              </w:rPr>
            </w:pPr>
            <w:r>
              <w:rPr>
                <w:rFonts w:ascii="仿宋_GB2312" w:hAnsi="楷体"/>
                <w:spacing w:val="10"/>
              </w:rPr>
              <w:t>补充</w:t>
            </w:r>
          </w:p>
        </w:tc>
        <w:tc>
          <w:tcPr>
            <w:tcW w:w="1134" w:type="dxa"/>
            <w:tcBorders>
              <w:top w:val="single" w:sz="4" w:space="0" w:color="auto"/>
              <w:left w:val="nil"/>
              <w:bottom w:val="single" w:sz="4" w:space="0" w:color="auto"/>
              <w:right w:val="single" w:sz="4" w:space="0" w:color="auto"/>
            </w:tcBorders>
            <w:vAlign w:val="center"/>
          </w:tcPr>
          <w:p w:rsidR="00DC6F26" w:rsidRDefault="00DC6F26" w:rsidP="00F4166B">
            <w:pPr>
              <w:spacing w:beforeLines="50" w:before="156" w:afterLines="50" w:after="156" w:line="300" w:lineRule="exact"/>
              <w:jc w:val="center"/>
              <w:rPr>
                <w:rFonts w:ascii="仿宋_GB2312" w:hAnsi="楷体"/>
                <w:spacing w:val="10"/>
              </w:rPr>
            </w:pPr>
            <w:r>
              <w:rPr>
                <w:rFonts w:ascii="仿宋_GB2312" w:hAnsi="楷体"/>
                <w:spacing w:val="10"/>
              </w:rPr>
              <w:t>体育课</w:t>
            </w:r>
            <w:r>
              <w:rPr>
                <w:rFonts w:ascii="仿宋_GB2312" w:hAnsi="楷体"/>
                <w:spacing w:val="10"/>
              </w:rPr>
              <w:br/>
            </w:r>
            <w:r>
              <w:rPr>
                <w:rFonts w:ascii="仿宋_GB2312" w:hAnsi="楷体"/>
                <w:spacing w:val="10"/>
              </w:rPr>
              <w:t>成绩</w:t>
            </w:r>
          </w:p>
        </w:tc>
      </w:tr>
      <w:tr w:rsidR="00DC6F26" w:rsidTr="00F4166B">
        <w:trPr>
          <w:trHeight w:val="1130"/>
        </w:trPr>
        <w:tc>
          <w:tcPr>
            <w:tcW w:w="1555" w:type="dxa"/>
            <w:tcBorders>
              <w:top w:val="single" w:sz="4" w:space="0" w:color="auto"/>
              <w:left w:val="single" w:sz="4" w:space="0" w:color="auto"/>
              <w:bottom w:val="single" w:sz="4" w:space="0" w:color="auto"/>
              <w:right w:val="single" w:sz="4" w:space="0" w:color="auto"/>
            </w:tcBorders>
            <w:vAlign w:val="center"/>
          </w:tcPr>
          <w:p w:rsidR="00DC6F26" w:rsidRDefault="00DC6F26" w:rsidP="00F4166B">
            <w:pPr>
              <w:spacing w:beforeLines="50" w:before="156" w:afterLines="50" w:after="156" w:line="340" w:lineRule="exact"/>
              <w:jc w:val="center"/>
              <w:rPr>
                <w:rFonts w:ascii="仿宋_GB2312" w:hAnsi="楷体"/>
                <w:spacing w:val="10"/>
              </w:rPr>
            </w:pPr>
            <w:proofErr w:type="gramStart"/>
            <w:r>
              <w:rPr>
                <w:rFonts w:ascii="仿宋_GB2312" w:hAnsi="楷体"/>
                <w:spacing w:val="10"/>
              </w:rPr>
              <w:t>卓越奖</w:t>
            </w:r>
            <w:proofErr w:type="gramEnd"/>
          </w:p>
        </w:tc>
        <w:tc>
          <w:tcPr>
            <w:tcW w:w="1140" w:type="dxa"/>
            <w:tcBorders>
              <w:top w:val="single" w:sz="4" w:space="0" w:color="auto"/>
              <w:left w:val="nil"/>
              <w:bottom w:val="single" w:sz="4" w:space="0" w:color="auto"/>
              <w:right w:val="single" w:sz="4" w:space="0" w:color="auto"/>
            </w:tcBorders>
            <w:vAlign w:val="center"/>
          </w:tcPr>
          <w:p w:rsidR="00DC6F26" w:rsidRDefault="00DC6F26" w:rsidP="00F4166B">
            <w:pPr>
              <w:spacing w:beforeLines="50" w:before="156" w:afterLines="50" w:after="156" w:line="340" w:lineRule="exact"/>
              <w:jc w:val="center"/>
              <w:rPr>
                <w:rFonts w:ascii="仿宋_GB2312" w:hAnsi="楷体"/>
                <w:spacing w:val="10"/>
              </w:rPr>
            </w:pPr>
            <w:r>
              <w:rPr>
                <w:rFonts w:ascii="仿宋_GB2312" w:hAnsi="楷体"/>
                <w:spacing w:val="10"/>
              </w:rPr>
              <w:t>≥</w:t>
            </w:r>
            <w:r>
              <w:rPr>
                <w:rFonts w:ascii="仿宋_GB2312" w:hAnsi="楷体"/>
                <w:spacing w:val="10"/>
              </w:rPr>
              <w:t>88</w:t>
            </w:r>
          </w:p>
        </w:tc>
        <w:tc>
          <w:tcPr>
            <w:tcW w:w="1080" w:type="dxa"/>
            <w:tcBorders>
              <w:top w:val="single" w:sz="4" w:space="0" w:color="auto"/>
              <w:left w:val="nil"/>
              <w:bottom w:val="single" w:sz="4" w:space="0" w:color="auto"/>
              <w:right w:val="single" w:sz="4" w:space="0" w:color="auto"/>
            </w:tcBorders>
            <w:vAlign w:val="center"/>
          </w:tcPr>
          <w:p w:rsidR="00DC6F26" w:rsidRDefault="00DC6F26" w:rsidP="00F4166B">
            <w:pPr>
              <w:spacing w:beforeLines="50" w:before="156" w:afterLines="50" w:after="156" w:line="340" w:lineRule="exact"/>
              <w:jc w:val="center"/>
              <w:rPr>
                <w:rFonts w:ascii="仿宋_GB2312" w:hAnsi="楷体"/>
                <w:spacing w:val="10"/>
              </w:rPr>
            </w:pPr>
            <w:r>
              <w:rPr>
                <w:rFonts w:ascii="仿宋_GB2312" w:hAnsi="楷体"/>
                <w:spacing w:val="10"/>
              </w:rPr>
              <w:t>≥</w:t>
            </w:r>
            <w:r>
              <w:rPr>
                <w:rFonts w:ascii="仿宋_GB2312" w:hAnsi="楷体"/>
                <w:spacing w:val="10"/>
              </w:rPr>
              <w:t>88</w:t>
            </w:r>
          </w:p>
        </w:tc>
        <w:tc>
          <w:tcPr>
            <w:tcW w:w="1800" w:type="dxa"/>
            <w:tcBorders>
              <w:top w:val="single" w:sz="4" w:space="0" w:color="auto"/>
              <w:left w:val="nil"/>
              <w:bottom w:val="single" w:sz="4" w:space="0" w:color="auto"/>
              <w:right w:val="single" w:sz="4" w:space="0" w:color="auto"/>
            </w:tcBorders>
            <w:vAlign w:val="center"/>
          </w:tcPr>
          <w:p w:rsidR="00DC6F26" w:rsidRDefault="00DC6F26" w:rsidP="00F4166B">
            <w:pPr>
              <w:spacing w:line="340" w:lineRule="exact"/>
              <w:jc w:val="center"/>
              <w:rPr>
                <w:rFonts w:ascii="仿宋_GB2312" w:hAnsi="楷体"/>
                <w:spacing w:val="10"/>
              </w:rPr>
            </w:pPr>
            <w:r>
              <w:rPr>
                <w:rFonts w:ascii="仿宋_GB2312" w:hAnsi="楷体"/>
                <w:spacing w:val="10"/>
              </w:rPr>
              <w:t>≥</w:t>
            </w:r>
            <w:r>
              <w:rPr>
                <w:rFonts w:ascii="仿宋_GB2312" w:hAnsi="楷体"/>
                <w:spacing w:val="10"/>
              </w:rPr>
              <w:t>80</w:t>
            </w:r>
          </w:p>
          <w:p w:rsidR="00DC6F26" w:rsidRDefault="00DC6F26" w:rsidP="00F4166B">
            <w:pPr>
              <w:spacing w:line="340" w:lineRule="exact"/>
              <w:jc w:val="center"/>
              <w:rPr>
                <w:rFonts w:ascii="仿宋_GB2312" w:hAnsi="楷体"/>
                <w:spacing w:val="-10"/>
              </w:rPr>
            </w:pPr>
            <w:r>
              <w:rPr>
                <w:rFonts w:ascii="仿宋_GB2312" w:hAnsi="楷体"/>
                <w:spacing w:val="10"/>
              </w:rPr>
              <w:t>或</w:t>
            </w:r>
            <w:r>
              <w:rPr>
                <w:rFonts w:ascii="仿宋_GB2312" w:hAnsi="楷体"/>
                <w:spacing w:val="10"/>
              </w:rPr>
              <w:t>B</w:t>
            </w:r>
            <w:r>
              <w:rPr>
                <w:rFonts w:ascii="仿宋_GB2312" w:hAnsi="楷体"/>
                <w:spacing w:val="10"/>
              </w:rPr>
              <w:t>及以上</w:t>
            </w:r>
          </w:p>
        </w:tc>
        <w:tc>
          <w:tcPr>
            <w:tcW w:w="1678" w:type="dxa"/>
            <w:tcBorders>
              <w:top w:val="single" w:sz="4" w:space="0" w:color="auto"/>
              <w:left w:val="nil"/>
              <w:bottom w:val="single" w:sz="4" w:space="0" w:color="auto"/>
              <w:right w:val="single" w:sz="4" w:space="0" w:color="auto"/>
            </w:tcBorders>
            <w:vAlign w:val="center"/>
          </w:tcPr>
          <w:p w:rsidR="00DC6F26" w:rsidRDefault="00DC6F26" w:rsidP="00F4166B">
            <w:pPr>
              <w:spacing w:afterLines="50" w:after="156" w:line="340" w:lineRule="exact"/>
              <w:jc w:val="center"/>
              <w:rPr>
                <w:rFonts w:ascii="仿宋_GB2312" w:hAnsi="楷体"/>
                <w:spacing w:val="10"/>
              </w:rPr>
            </w:pPr>
          </w:p>
        </w:tc>
        <w:tc>
          <w:tcPr>
            <w:tcW w:w="1134" w:type="dxa"/>
            <w:tcBorders>
              <w:top w:val="single" w:sz="4" w:space="0" w:color="auto"/>
              <w:left w:val="nil"/>
              <w:bottom w:val="single" w:sz="4" w:space="0" w:color="auto"/>
              <w:right w:val="single" w:sz="4" w:space="0" w:color="auto"/>
            </w:tcBorders>
            <w:vAlign w:val="center"/>
          </w:tcPr>
          <w:p w:rsidR="00DC6F26" w:rsidRDefault="00DC6F26" w:rsidP="00F4166B">
            <w:pPr>
              <w:spacing w:beforeLines="50" w:before="156" w:afterLines="50" w:after="156" w:line="340" w:lineRule="exact"/>
              <w:jc w:val="center"/>
              <w:rPr>
                <w:rFonts w:ascii="仿宋_GB2312" w:hAnsi="楷体"/>
                <w:spacing w:val="10"/>
              </w:rPr>
            </w:pPr>
            <w:r>
              <w:rPr>
                <w:rFonts w:ascii="仿宋_GB2312" w:hAnsi="楷体"/>
                <w:spacing w:val="10"/>
              </w:rPr>
              <w:t>≥</w:t>
            </w:r>
            <w:r>
              <w:rPr>
                <w:rFonts w:ascii="仿宋_GB2312" w:hAnsi="楷体"/>
                <w:spacing w:val="10"/>
              </w:rPr>
              <w:t>75</w:t>
            </w:r>
          </w:p>
        </w:tc>
      </w:tr>
      <w:tr w:rsidR="00DC6F26" w:rsidTr="00F4166B">
        <w:trPr>
          <w:trHeight w:val="1130"/>
        </w:trPr>
        <w:tc>
          <w:tcPr>
            <w:tcW w:w="1555" w:type="dxa"/>
            <w:tcBorders>
              <w:top w:val="single" w:sz="4" w:space="0" w:color="auto"/>
              <w:left w:val="single" w:sz="4" w:space="0" w:color="auto"/>
              <w:bottom w:val="single" w:sz="4" w:space="0" w:color="auto"/>
              <w:right w:val="single" w:sz="4" w:space="0" w:color="auto"/>
            </w:tcBorders>
            <w:vAlign w:val="center"/>
          </w:tcPr>
          <w:p w:rsidR="00DC6F26" w:rsidRDefault="00DC6F26" w:rsidP="00F4166B">
            <w:pPr>
              <w:spacing w:beforeLines="50" w:before="156" w:afterLines="50" w:after="156" w:line="340" w:lineRule="exact"/>
              <w:jc w:val="center"/>
              <w:rPr>
                <w:rFonts w:ascii="仿宋_GB2312" w:hAnsi="楷体"/>
                <w:spacing w:val="10"/>
              </w:rPr>
            </w:pPr>
            <w:r>
              <w:rPr>
                <w:rFonts w:ascii="仿宋_GB2312" w:hAnsi="楷体"/>
                <w:spacing w:val="10"/>
              </w:rPr>
              <w:t>特等奖</w:t>
            </w:r>
          </w:p>
        </w:tc>
        <w:tc>
          <w:tcPr>
            <w:tcW w:w="1140" w:type="dxa"/>
            <w:tcBorders>
              <w:top w:val="single" w:sz="4" w:space="0" w:color="auto"/>
              <w:left w:val="nil"/>
              <w:bottom w:val="single" w:sz="4" w:space="0" w:color="auto"/>
              <w:right w:val="single" w:sz="4" w:space="0" w:color="auto"/>
            </w:tcBorders>
            <w:vAlign w:val="center"/>
          </w:tcPr>
          <w:p w:rsidR="00DC6F26" w:rsidRDefault="00DC6F26" w:rsidP="00F4166B">
            <w:pPr>
              <w:spacing w:beforeLines="50" w:before="156" w:afterLines="50" w:after="156" w:line="340" w:lineRule="exact"/>
              <w:jc w:val="center"/>
              <w:rPr>
                <w:rFonts w:ascii="仿宋_GB2312" w:hAnsi="楷体"/>
                <w:spacing w:val="10"/>
              </w:rPr>
            </w:pPr>
            <w:r>
              <w:rPr>
                <w:rFonts w:ascii="仿宋_GB2312" w:hAnsi="楷体"/>
                <w:spacing w:val="10"/>
              </w:rPr>
              <w:t>≥</w:t>
            </w:r>
            <w:r>
              <w:rPr>
                <w:rFonts w:ascii="仿宋_GB2312" w:hAnsi="楷体"/>
                <w:spacing w:val="10"/>
              </w:rPr>
              <w:t>85</w:t>
            </w:r>
          </w:p>
        </w:tc>
        <w:tc>
          <w:tcPr>
            <w:tcW w:w="1080" w:type="dxa"/>
            <w:tcBorders>
              <w:top w:val="single" w:sz="4" w:space="0" w:color="auto"/>
              <w:left w:val="nil"/>
              <w:bottom w:val="single" w:sz="4" w:space="0" w:color="auto"/>
              <w:right w:val="single" w:sz="4" w:space="0" w:color="auto"/>
            </w:tcBorders>
            <w:vAlign w:val="center"/>
          </w:tcPr>
          <w:p w:rsidR="00DC6F26" w:rsidRDefault="00DC6F26" w:rsidP="00F4166B">
            <w:pPr>
              <w:spacing w:beforeLines="50" w:before="156" w:afterLines="50" w:after="156" w:line="340" w:lineRule="exact"/>
              <w:jc w:val="center"/>
              <w:rPr>
                <w:rFonts w:ascii="仿宋_GB2312" w:hAnsi="楷体"/>
                <w:spacing w:val="10"/>
              </w:rPr>
            </w:pPr>
            <w:r>
              <w:rPr>
                <w:rFonts w:ascii="仿宋_GB2312" w:hAnsi="楷体"/>
                <w:spacing w:val="10"/>
              </w:rPr>
              <w:t>≥</w:t>
            </w:r>
            <w:r>
              <w:rPr>
                <w:rFonts w:ascii="仿宋_GB2312" w:hAnsi="楷体"/>
                <w:spacing w:val="10"/>
              </w:rPr>
              <w:t>85</w:t>
            </w:r>
          </w:p>
        </w:tc>
        <w:tc>
          <w:tcPr>
            <w:tcW w:w="1800" w:type="dxa"/>
            <w:tcBorders>
              <w:top w:val="single" w:sz="4" w:space="0" w:color="auto"/>
              <w:left w:val="nil"/>
              <w:bottom w:val="single" w:sz="4" w:space="0" w:color="auto"/>
              <w:right w:val="single" w:sz="4" w:space="0" w:color="auto"/>
            </w:tcBorders>
            <w:vAlign w:val="center"/>
          </w:tcPr>
          <w:p w:rsidR="00DC6F26" w:rsidRDefault="00DC6F26" w:rsidP="00F4166B">
            <w:pPr>
              <w:spacing w:line="340" w:lineRule="exact"/>
              <w:jc w:val="center"/>
              <w:rPr>
                <w:rFonts w:ascii="仿宋_GB2312" w:hAnsi="楷体"/>
                <w:spacing w:val="10"/>
              </w:rPr>
            </w:pPr>
            <w:r>
              <w:rPr>
                <w:rFonts w:ascii="仿宋_GB2312" w:hAnsi="楷体"/>
                <w:spacing w:val="10"/>
              </w:rPr>
              <w:t>≥</w:t>
            </w:r>
            <w:r>
              <w:rPr>
                <w:rFonts w:ascii="仿宋_GB2312" w:hAnsi="楷体"/>
                <w:spacing w:val="10"/>
              </w:rPr>
              <w:t>80</w:t>
            </w:r>
          </w:p>
          <w:p w:rsidR="00DC6F26" w:rsidRDefault="00DC6F26" w:rsidP="00F4166B">
            <w:pPr>
              <w:spacing w:line="340" w:lineRule="exact"/>
              <w:jc w:val="center"/>
              <w:rPr>
                <w:rFonts w:ascii="仿宋_GB2312" w:hAnsi="楷体"/>
                <w:spacing w:val="10"/>
              </w:rPr>
            </w:pPr>
            <w:r>
              <w:rPr>
                <w:rFonts w:ascii="仿宋_GB2312" w:hAnsi="楷体"/>
                <w:spacing w:val="10"/>
              </w:rPr>
              <w:t>或</w:t>
            </w:r>
            <w:r>
              <w:rPr>
                <w:rFonts w:ascii="仿宋_GB2312" w:hAnsi="楷体"/>
                <w:spacing w:val="10"/>
              </w:rPr>
              <w:t>B</w:t>
            </w:r>
            <w:r>
              <w:rPr>
                <w:rFonts w:ascii="仿宋_GB2312" w:hAnsi="楷体"/>
                <w:spacing w:val="10"/>
              </w:rPr>
              <w:t>及以上</w:t>
            </w:r>
          </w:p>
        </w:tc>
        <w:tc>
          <w:tcPr>
            <w:tcW w:w="1678" w:type="dxa"/>
            <w:tcBorders>
              <w:top w:val="single" w:sz="4" w:space="0" w:color="auto"/>
              <w:left w:val="nil"/>
              <w:bottom w:val="single" w:sz="4" w:space="0" w:color="auto"/>
              <w:right w:val="single" w:sz="4" w:space="0" w:color="auto"/>
            </w:tcBorders>
            <w:vAlign w:val="center"/>
          </w:tcPr>
          <w:p w:rsidR="00DC6F26" w:rsidRDefault="00DC6F26" w:rsidP="00F4166B">
            <w:pPr>
              <w:spacing w:afterLines="50" w:after="156" w:line="340" w:lineRule="exact"/>
              <w:jc w:val="center"/>
              <w:rPr>
                <w:rFonts w:ascii="仿宋_GB2312" w:hAnsi="楷体"/>
                <w:spacing w:val="-10"/>
              </w:rPr>
            </w:pPr>
            <w:proofErr w:type="gramStart"/>
            <w:r>
              <w:rPr>
                <w:rFonts w:ascii="仿宋_GB2312" w:hAnsi="楷体"/>
                <w:spacing w:val="-10"/>
              </w:rPr>
              <w:t>当最高</w:t>
            </w:r>
            <w:proofErr w:type="gramEnd"/>
            <w:r>
              <w:rPr>
                <w:rFonts w:ascii="仿宋_GB2312" w:hAnsi="楷体"/>
                <w:spacing w:val="-10"/>
              </w:rPr>
              <w:t>分</w:t>
            </w:r>
            <w:r>
              <w:rPr>
                <w:rFonts w:ascii="微软雅黑" w:eastAsia="微软雅黑" w:hAnsi="微软雅黑" w:hint="eastAsia"/>
                <w:spacing w:val="-10"/>
              </w:rPr>
              <w:t>﹤</w:t>
            </w:r>
            <w:r>
              <w:rPr>
                <w:rFonts w:ascii="仿宋_GB2312" w:hAnsi="楷体"/>
                <w:spacing w:val="-10"/>
              </w:rPr>
              <w:t>80</w:t>
            </w:r>
            <w:r>
              <w:rPr>
                <w:rFonts w:ascii="仿宋_GB2312" w:hAnsi="楷体"/>
                <w:spacing w:val="-10"/>
              </w:rPr>
              <w:t>时，单科成绩</w:t>
            </w:r>
            <w:proofErr w:type="gramStart"/>
            <w:r>
              <w:rPr>
                <w:rFonts w:ascii="仿宋_GB2312" w:hAnsi="楷体"/>
                <w:spacing w:val="-10"/>
              </w:rPr>
              <w:t>排班级</w:t>
            </w:r>
            <w:proofErr w:type="gramEnd"/>
            <w:r>
              <w:rPr>
                <w:rFonts w:ascii="仿宋_GB2312" w:hAnsi="楷体"/>
                <w:spacing w:val="-10"/>
              </w:rPr>
              <w:t>前</w:t>
            </w:r>
            <w:r>
              <w:rPr>
                <w:rFonts w:ascii="仿宋_GB2312" w:hAnsi="楷体"/>
                <w:spacing w:val="-10"/>
              </w:rPr>
              <w:t>3</w:t>
            </w:r>
            <w:r>
              <w:rPr>
                <w:rFonts w:ascii="仿宋_GB2312" w:hAnsi="楷体"/>
                <w:spacing w:val="-10"/>
              </w:rPr>
              <w:t>名</w:t>
            </w:r>
          </w:p>
        </w:tc>
        <w:tc>
          <w:tcPr>
            <w:tcW w:w="1134" w:type="dxa"/>
            <w:tcBorders>
              <w:top w:val="single" w:sz="4" w:space="0" w:color="auto"/>
              <w:left w:val="nil"/>
              <w:bottom w:val="single" w:sz="4" w:space="0" w:color="auto"/>
              <w:right w:val="single" w:sz="4" w:space="0" w:color="auto"/>
            </w:tcBorders>
            <w:vAlign w:val="center"/>
          </w:tcPr>
          <w:p w:rsidR="00DC6F26" w:rsidRDefault="00DC6F26" w:rsidP="00F4166B">
            <w:pPr>
              <w:spacing w:beforeLines="50" w:before="156" w:afterLines="50" w:after="156" w:line="340" w:lineRule="exact"/>
              <w:jc w:val="center"/>
              <w:rPr>
                <w:rFonts w:ascii="仿宋_GB2312" w:hAnsi="楷体"/>
                <w:spacing w:val="10"/>
              </w:rPr>
            </w:pPr>
            <w:r>
              <w:rPr>
                <w:rFonts w:ascii="仿宋_GB2312" w:hAnsi="楷体"/>
                <w:spacing w:val="10"/>
              </w:rPr>
              <w:t>≥</w:t>
            </w:r>
            <w:r>
              <w:rPr>
                <w:rFonts w:ascii="仿宋_GB2312" w:hAnsi="楷体"/>
                <w:spacing w:val="10"/>
              </w:rPr>
              <w:t>75</w:t>
            </w:r>
          </w:p>
        </w:tc>
      </w:tr>
      <w:tr w:rsidR="00DC6F26" w:rsidTr="00F4166B">
        <w:trPr>
          <w:trHeight w:val="1048"/>
        </w:trPr>
        <w:tc>
          <w:tcPr>
            <w:tcW w:w="1555" w:type="dxa"/>
            <w:tcBorders>
              <w:top w:val="single" w:sz="4" w:space="0" w:color="auto"/>
              <w:left w:val="single" w:sz="4" w:space="0" w:color="auto"/>
              <w:bottom w:val="single" w:sz="4" w:space="0" w:color="auto"/>
              <w:right w:val="single" w:sz="4" w:space="0" w:color="auto"/>
            </w:tcBorders>
            <w:vAlign w:val="center"/>
          </w:tcPr>
          <w:p w:rsidR="00DC6F26" w:rsidRDefault="00DC6F26" w:rsidP="00F4166B">
            <w:pPr>
              <w:spacing w:beforeLines="50" w:before="156" w:afterLines="50" w:after="156" w:line="340" w:lineRule="exact"/>
              <w:jc w:val="center"/>
              <w:rPr>
                <w:rFonts w:ascii="仿宋_GB2312" w:hAnsi="楷体"/>
                <w:spacing w:val="10"/>
              </w:rPr>
            </w:pPr>
            <w:r>
              <w:rPr>
                <w:rFonts w:ascii="仿宋_GB2312" w:hAnsi="楷体"/>
                <w:spacing w:val="10"/>
              </w:rPr>
              <w:t>一等奖</w:t>
            </w:r>
          </w:p>
        </w:tc>
        <w:tc>
          <w:tcPr>
            <w:tcW w:w="1140" w:type="dxa"/>
            <w:tcBorders>
              <w:top w:val="single" w:sz="4" w:space="0" w:color="auto"/>
              <w:left w:val="nil"/>
              <w:bottom w:val="single" w:sz="4" w:space="0" w:color="auto"/>
              <w:right w:val="single" w:sz="4" w:space="0" w:color="auto"/>
            </w:tcBorders>
            <w:vAlign w:val="center"/>
          </w:tcPr>
          <w:p w:rsidR="00DC6F26" w:rsidRDefault="00DC6F26" w:rsidP="00F4166B">
            <w:pPr>
              <w:spacing w:beforeLines="50" w:before="156" w:afterLines="50" w:after="156" w:line="340" w:lineRule="exact"/>
              <w:jc w:val="center"/>
              <w:rPr>
                <w:rFonts w:ascii="仿宋_GB2312" w:hAnsi="楷体"/>
                <w:spacing w:val="10"/>
              </w:rPr>
            </w:pPr>
            <w:r>
              <w:rPr>
                <w:rFonts w:ascii="仿宋_GB2312" w:hAnsi="楷体"/>
                <w:spacing w:val="10"/>
              </w:rPr>
              <w:t>≥</w:t>
            </w:r>
            <w:r>
              <w:rPr>
                <w:rFonts w:ascii="仿宋_GB2312" w:hAnsi="楷体"/>
                <w:spacing w:val="10"/>
              </w:rPr>
              <w:t>80</w:t>
            </w:r>
          </w:p>
        </w:tc>
        <w:tc>
          <w:tcPr>
            <w:tcW w:w="1080" w:type="dxa"/>
            <w:tcBorders>
              <w:top w:val="single" w:sz="4" w:space="0" w:color="auto"/>
              <w:left w:val="nil"/>
              <w:bottom w:val="single" w:sz="4" w:space="0" w:color="auto"/>
              <w:right w:val="single" w:sz="4" w:space="0" w:color="auto"/>
            </w:tcBorders>
            <w:vAlign w:val="center"/>
          </w:tcPr>
          <w:p w:rsidR="00DC6F26" w:rsidRDefault="00DC6F26" w:rsidP="00F4166B">
            <w:pPr>
              <w:spacing w:beforeLines="50" w:before="156" w:afterLines="50" w:after="156" w:line="340" w:lineRule="exact"/>
              <w:jc w:val="center"/>
              <w:rPr>
                <w:rFonts w:ascii="仿宋_GB2312" w:hAnsi="楷体"/>
                <w:spacing w:val="10"/>
              </w:rPr>
            </w:pPr>
            <w:r>
              <w:rPr>
                <w:rFonts w:ascii="仿宋_GB2312" w:hAnsi="楷体"/>
                <w:spacing w:val="10"/>
              </w:rPr>
              <w:t>≥</w:t>
            </w:r>
            <w:r>
              <w:rPr>
                <w:rFonts w:ascii="仿宋_GB2312" w:hAnsi="楷体"/>
                <w:spacing w:val="10"/>
              </w:rPr>
              <w:t>80</w:t>
            </w:r>
          </w:p>
        </w:tc>
        <w:tc>
          <w:tcPr>
            <w:tcW w:w="1800" w:type="dxa"/>
            <w:tcBorders>
              <w:top w:val="single" w:sz="4" w:space="0" w:color="auto"/>
              <w:left w:val="nil"/>
              <w:bottom w:val="single" w:sz="4" w:space="0" w:color="auto"/>
              <w:right w:val="single" w:sz="4" w:space="0" w:color="auto"/>
            </w:tcBorders>
            <w:vAlign w:val="center"/>
          </w:tcPr>
          <w:p w:rsidR="00DC6F26" w:rsidRDefault="00DC6F26" w:rsidP="00F4166B">
            <w:pPr>
              <w:spacing w:beforeLines="50" w:before="156" w:line="340" w:lineRule="exact"/>
              <w:jc w:val="center"/>
              <w:rPr>
                <w:rFonts w:ascii="仿宋_GB2312" w:hAnsi="楷体"/>
                <w:spacing w:val="10"/>
              </w:rPr>
            </w:pPr>
            <w:r>
              <w:rPr>
                <w:rFonts w:ascii="仿宋_GB2312" w:hAnsi="楷体"/>
                <w:spacing w:val="10"/>
              </w:rPr>
              <w:t>≥</w:t>
            </w:r>
            <w:r>
              <w:rPr>
                <w:rFonts w:ascii="仿宋_GB2312" w:hAnsi="楷体"/>
                <w:spacing w:val="10"/>
              </w:rPr>
              <w:t>75</w:t>
            </w:r>
          </w:p>
          <w:p w:rsidR="00DC6F26" w:rsidRDefault="00DC6F26" w:rsidP="00F4166B">
            <w:pPr>
              <w:spacing w:afterLines="50" w:after="156" w:line="340" w:lineRule="exact"/>
              <w:jc w:val="center"/>
              <w:rPr>
                <w:rFonts w:ascii="仿宋_GB2312" w:hAnsi="楷体"/>
                <w:spacing w:val="-10"/>
              </w:rPr>
            </w:pPr>
            <w:r>
              <w:rPr>
                <w:rFonts w:ascii="仿宋_GB2312" w:hAnsi="楷体"/>
                <w:spacing w:val="10"/>
              </w:rPr>
              <w:t>或</w:t>
            </w:r>
            <w:r>
              <w:rPr>
                <w:rFonts w:ascii="仿宋_GB2312" w:hAnsi="楷体"/>
                <w:spacing w:val="10"/>
              </w:rPr>
              <w:t>B</w:t>
            </w:r>
            <w:r>
              <w:rPr>
                <w:rFonts w:ascii="仿宋_GB2312" w:hAnsi="楷体"/>
                <w:spacing w:val="10"/>
                <w:vertAlign w:val="superscript"/>
              </w:rPr>
              <w:t>－</w:t>
            </w:r>
            <w:r>
              <w:rPr>
                <w:rFonts w:ascii="仿宋_GB2312" w:hAnsi="楷体"/>
                <w:spacing w:val="10"/>
              </w:rPr>
              <w:t>及以上</w:t>
            </w:r>
          </w:p>
        </w:tc>
        <w:tc>
          <w:tcPr>
            <w:tcW w:w="1678" w:type="dxa"/>
            <w:tcBorders>
              <w:top w:val="single" w:sz="4" w:space="0" w:color="auto"/>
              <w:left w:val="nil"/>
              <w:bottom w:val="single" w:sz="4" w:space="0" w:color="auto"/>
              <w:right w:val="single" w:sz="4" w:space="0" w:color="auto"/>
            </w:tcBorders>
            <w:vAlign w:val="center"/>
          </w:tcPr>
          <w:p w:rsidR="00DC6F26" w:rsidRDefault="00DC6F26" w:rsidP="00F4166B">
            <w:pPr>
              <w:spacing w:afterLines="50" w:after="156" w:line="340" w:lineRule="exact"/>
              <w:jc w:val="center"/>
              <w:rPr>
                <w:rFonts w:ascii="仿宋_GB2312" w:hAnsi="楷体"/>
                <w:spacing w:val="10"/>
              </w:rPr>
            </w:pPr>
            <w:proofErr w:type="gramStart"/>
            <w:r>
              <w:rPr>
                <w:rFonts w:ascii="仿宋_GB2312" w:hAnsi="楷体"/>
                <w:spacing w:val="-10"/>
              </w:rPr>
              <w:t>当最高</w:t>
            </w:r>
            <w:proofErr w:type="gramEnd"/>
            <w:r>
              <w:rPr>
                <w:rFonts w:ascii="仿宋_GB2312" w:hAnsi="楷体"/>
                <w:spacing w:val="-10"/>
              </w:rPr>
              <w:t>分</w:t>
            </w:r>
            <w:r>
              <w:rPr>
                <w:rFonts w:ascii="微软雅黑" w:eastAsia="微软雅黑" w:hAnsi="微软雅黑" w:hint="eastAsia"/>
                <w:spacing w:val="-10"/>
              </w:rPr>
              <w:t>﹤</w:t>
            </w:r>
            <w:r>
              <w:rPr>
                <w:rFonts w:ascii="仿宋_GB2312" w:hAnsi="楷体"/>
                <w:spacing w:val="-10"/>
              </w:rPr>
              <w:t>75</w:t>
            </w:r>
            <w:r>
              <w:rPr>
                <w:rFonts w:ascii="仿宋_GB2312" w:hAnsi="楷体"/>
                <w:spacing w:val="-10"/>
              </w:rPr>
              <w:t>时，</w:t>
            </w:r>
            <w:r>
              <w:rPr>
                <w:rFonts w:ascii="仿宋_GB2312" w:hAnsi="楷体"/>
                <w:spacing w:val="10"/>
              </w:rPr>
              <w:t>单科成绩</w:t>
            </w:r>
            <w:proofErr w:type="gramStart"/>
            <w:r>
              <w:rPr>
                <w:rFonts w:ascii="仿宋_GB2312" w:hAnsi="楷体"/>
                <w:spacing w:val="10"/>
              </w:rPr>
              <w:t>排班级</w:t>
            </w:r>
            <w:proofErr w:type="gramEnd"/>
            <w:r>
              <w:rPr>
                <w:rFonts w:ascii="仿宋_GB2312" w:hAnsi="楷体"/>
                <w:spacing w:val="10"/>
              </w:rPr>
              <w:t>前</w:t>
            </w:r>
            <w:r>
              <w:rPr>
                <w:rFonts w:ascii="仿宋_GB2312" w:hAnsi="楷体"/>
                <w:spacing w:val="10"/>
              </w:rPr>
              <w:t>5</w:t>
            </w:r>
            <w:r>
              <w:rPr>
                <w:rFonts w:ascii="仿宋_GB2312" w:hAnsi="楷体"/>
                <w:spacing w:val="10"/>
              </w:rPr>
              <w:t>名</w:t>
            </w:r>
          </w:p>
        </w:tc>
        <w:tc>
          <w:tcPr>
            <w:tcW w:w="1134" w:type="dxa"/>
            <w:tcBorders>
              <w:top w:val="single" w:sz="4" w:space="0" w:color="auto"/>
              <w:left w:val="nil"/>
              <w:bottom w:val="single" w:sz="4" w:space="0" w:color="auto"/>
              <w:right w:val="single" w:sz="4" w:space="0" w:color="auto"/>
            </w:tcBorders>
            <w:vAlign w:val="center"/>
          </w:tcPr>
          <w:p w:rsidR="00DC6F26" w:rsidRDefault="00DC6F26" w:rsidP="00F4166B">
            <w:pPr>
              <w:spacing w:beforeLines="50" w:before="156" w:afterLines="50" w:after="156" w:line="340" w:lineRule="exact"/>
              <w:jc w:val="center"/>
              <w:rPr>
                <w:rFonts w:ascii="仿宋_GB2312" w:hAnsi="楷体"/>
                <w:spacing w:val="10"/>
              </w:rPr>
            </w:pPr>
            <w:r>
              <w:rPr>
                <w:rFonts w:ascii="仿宋_GB2312" w:hAnsi="楷体"/>
                <w:spacing w:val="10"/>
              </w:rPr>
              <w:t>≥</w:t>
            </w:r>
            <w:r>
              <w:rPr>
                <w:rFonts w:ascii="仿宋_GB2312" w:hAnsi="楷体"/>
                <w:spacing w:val="10"/>
              </w:rPr>
              <w:t>70</w:t>
            </w:r>
          </w:p>
        </w:tc>
      </w:tr>
      <w:tr w:rsidR="00DC6F26" w:rsidTr="00F4166B">
        <w:trPr>
          <w:trHeight w:val="983"/>
        </w:trPr>
        <w:tc>
          <w:tcPr>
            <w:tcW w:w="1555" w:type="dxa"/>
            <w:tcBorders>
              <w:top w:val="single" w:sz="4" w:space="0" w:color="auto"/>
              <w:left w:val="single" w:sz="4" w:space="0" w:color="auto"/>
              <w:bottom w:val="single" w:sz="4" w:space="0" w:color="auto"/>
              <w:right w:val="single" w:sz="4" w:space="0" w:color="auto"/>
            </w:tcBorders>
            <w:vAlign w:val="center"/>
          </w:tcPr>
          <w:p w:rsidR="00DC6F26" w:rsidRDefault="00DC6F26" w:rsidP="00F4166B">
            <w:pPr>
              <w:spacing w:beforeLines="50" w:before="156" w:afterLines="50" w:after="156" w:line="340" w:lineRule="exact"/>
              <w:jc w:val="center"/>
              <w:rPr>
                <w:rFonts w:ascii="仿宋_GB2312" w:hAnsi="楷体"/>
                <w:spacing w:val="10"/>
              </w:rPr>
            </w:pPr>
            <w:r>
              <w:rPr>
                <w:rFonts w:ascii="仿宋_GB2312" w:hAnsi="楷体"/>
                <w:spacing w:val="10"/>
              </w:rPr>
              <w:t>二等奖</w:t>
            </w:r>
          </w:p>
        </w:tc>
        <w:tc>
          <w:tcPr>
            <w:tcW w:w="1140" w:type="dxa"/>
            <w:tcBorders>
              <w:top w:val="single" w:sz="4" w:space="0" w:color="auto"/>
              <w:left w:val="nil"/>
              <w:bottom w:val="single" w:sz="4" w:space="0" w:color="auto"/>
              <w:right w:val="single" w:sz="4" w:space="0" w:color="auto"/>
            </w:tcBorders>
            <w:vAlign w:val="center"/>
          </w:tcPr>
          <w:p w:rsidR="00DC6F26" w:rsidRDefault="00DC6F26" w:rsidP="00F4166B">
            <w:pPr>
              <w:spacing w:beforeLines="50" w:before="156" w:afterLines="50" w:after="156" w:line="340" w:lineRule="exact"/>
              <w:jc w:val="center"/>
              <w:rPr>
                <w:rFonts w:ascii="仿宋_GB2312" w:hAnsi="楷体"/>
                <w:spacing w:val="10"/>
              </w:rPr>
            </w:pPr>
            <w:r>
              <w:rPr>
                <w:rFonts w:ascii="仿宋_GB2312" w:hAnsi="楷体"/>
                <w:spacing w:val="10"/>
              </w:rPr>
              <w:t>≥</w:t>
            </w:r>
            <w:r>
              <w:rPr>
                <w:rFonts w:ascii="仿宋_GB2312" w:hAnsi="楷体"/>
                <w:spacing w:val="10"/>
              </w:rPr>
              <w:t>75</w:t>
            </w:r>
          </w:p>
        </w:tc>
        <w:tc>
          <w:tcPr>
            <w:tcW w:w="1080" w:type="dxa"/>
            <w:tcBorders>
              <w:top w:val="single" w:sz="4" w:space="0" w:color="auto"/>
              <w:left w:val="nil"/>
              <w:bottom w:val="single" w:sz="4" w:space="0" w:color="auto"/>
              <w:right w:val="single" w:sz="4" w:space="0" w:color="auto"/>
            </w:tcBorders>
            <w:vAlign w:val="center"/>
          </w:tcPr>
          <w:p w:rsidR="00DC6F26" w:rsidRDefault="00DC6F26" w:rsidP="00F4166B">
            <w:pPr>
              <w:spacing w:beforeLines="50" w:before="156" w:afterLines="50" w:after="156" w:line="340" w:lineRule="exact"/>
              <w:jc w:val="center"/>
              <w:rPr>
                <w:rFonts w:ascii="仿宋_GB2312" w:hAnsi="楷体"/>
                <w:spacing w:val="10"/>
              </w:rPr>
            </w:pPr>
            <w:r>
              <w:rPr>
                <w:rFonts w:ascii="仿宋_GB2312" w:hAnsi="楷体"/>
                <w:spacing w:val="10"/>
              </w:rPr>
              <w:t>≥</w:t>
            </w:r>
            <w:r>
              <w:rPr>
                <w:rFonts w:ascii="仿宋_GB2312" w:hAnsi="楷体"/>
                <w:spacing w:val="10"/>
              </w:rPr>
              <w:t>75</w:t>
            </w:r>
          </w:p>
        </w:tc>
        <w:tc>
          <w:tcPr>
            <w:tcW w:w="1800" w:type="dxa"/>
            <w:tcBorders>
              <w:top w:val="single" w:sz="4" w:space="0" w:color="auto"/>
              <w:left w:val="nil"/>
              <w:bottom w:val="single" w:sz="4" w:space="0" w:color="auto"/>
              <w:right w:val="single" w:sz="4" w:space="0" w:color="auto"/>
            </w:tcBorders>
            <w:vAlign w:val="center"/>
          </w:tcPr>
          <w:p w:rsidR="00DC6F26" w:rsidRDefault="00DC6F26" w:rsidP="00F4166B">
            <w:pPr>
              <w:spacing w:line="340" w:lineRule="exact"/>
              <w:jc w:val="center"/>
              <w:rPr>
                <w:rFonts w:ascii="仿宋_GB2312" w:hAnsi="楷体"/>
                <w:spacing w:val="10"/>
              </w:rPr>
            </w:pPr>
            <w:r>
              <w:rPr>
                <w:rFonts w:ascii="仿宋_GB2312" w:hAnsi="楷体"/>
                <w:spacing w:val="10"/>
              </w:rPr>
              <w:t>≥</w:t>
            </w:r>
            <w:r>
              <w:rPr>
                <w:rFonts w:ascii="仿宋_GB2312" w:hAnsi="楷体"/>
                <w:spacing w:val="10"/>
              </w:rPr>
              <w:t>70</w:t>
            </w:r>
          </w:p>
          <w:p w:rsidR="00DC6F26" w:rsidRDefault="00DC6F26" w:rsidP="00F4166B">
            <w:pPr>
              <w:spacing w:line="340" w:lineRule="exact"/>
              <w:jc w:val="center"/>
              <w:rPr>
                <w:rFonts w:ascii="仿宋_GB2312" w:hAnsi="楷体"/>
                <w:spacing w:val="10"/>
              </w:rPr>
            </w:pPr>
            <w:r>
              <w:rPr>
                <w:rFonts w:ascii="仿宋_GB2312" w:hAnsi="楷体"/>
                <w:spacing w:val="10"/>
              </w:rPr>
              <w:t>或</w:t>
            </w:r>
            <w:r>
              <w:rPr>
                <w:rFonts w:ascii="仿宋_GB2312" w:hAnsi="楷体"/>
                <w:spacing w:val="10"/>
              </w:rPr>
              <w:t>C</w:t>
            </w:r>
            <w:r>
              <w:rPr>
                <w:rFonts w:ascii="仿宋_GB2312" w:hAnsi="楷体"/>
                <w:spacing w:val="10"/>
                <w:vertAlign w:val="superscript"/>
              </w:rPr>
              <w:t>+</w:t>
            </w:r>
            <w:r>
              <w:rPr>
                <w:rFonts w:ascii="仿宋_GB2312" w:hAnsi="楷体"/>
                <w:spacing w:val="10"/>
              </w:rPr>
              <w:t>及以上</w:t>
            </w:r>
          </w:p>
        </w:tc>
        <w:tc>
          <w:tcPr>
            <w:tcW w:w="1678" w:type="dxa"/>
            <w:tcBorders>
              <w:top w:val="single" w:sz="4" w:space="0" w:color="auto"/>
              <w:left w:val="nil"/>
              <w:bottom w:val="single" w:sz="4" w:space="0" w:color="auto"/>
              <w:right w:val="single" w:sz="4" w:space="0" w:color="auto"/>
            </w:tcBorders>
            <w:vAlign w:val="center"/>
          </w:tcPr>
          <w:p w:rsidR="00DC6F26" w:rsidRDefault="00DC6F26" w:rsidP="00F4166B">
            <w:pPr>
              <w:spacing w:beforeLines="50" w:before="156" w:afterLines="50" w:after="156" w:line="340" w:lineRule="exact"/>
              <w:jc w:val="center"/>
              <w:rPr>
                <w:rFonts w:ascii="仿宋_GB2312" w:hAnsi="楷体"/>
                <w:spacing w:val="10"/>
              </w:rPr>
            </w:pPr>
          </w:p>
        </w:tc>
        <w:tc>
          <w:tcPr>
            <w:tcW w:w="1134" w:type="dxa"/>
            <w:tcBorders>
              <w:top w:val="single" w:sz="4" w:space="0" w:color="auto"/>
              <w:left w:val="nil"/>
              <w:bottom w:val="single" w:sz="4" w:space="0" w:color="auto"/>
              <w:right w:val="single" w:sz="4" w:space="0" w:color="auto"/>
            </w:tcBorders>
            <w:vAlign w:val="center"/>
          </w:tcPr>
          <w:p w:rsidR="00DC6F26" w:rsidRDefault="00DC6F26" w:rsidP="00F4166B">
            <w:pPr>
              <w:spacing w:beforeLines="50" w:before="156" w:afterLines="50" w:after="156" w:line="340" w:lineRule="exact"/>
              <w:jc w:val="center"/>
              <w:rPr>
                <w:rFonts w:ascii="仿宋_GB2312" w:hAnsi="楷体"/>
                <w:spacing w:val="10"/>
              </w:rPr>
            </w:pPr>
            <w:r>
              <w:rPr>
                <w:rFonts w:ascii="仿宋_GB2312" w:hAnsi="楷体"/>
                <w:spacing w:val="10"/>
              </w:rPr>
              <w:t>≥</w:t>
            </w:r>
            <w:r>
              <w:rPr>
                <w:rFonts w:ascii="仿宋_GB2312" w:hAnsi="楷体"/>
                <w:spacing w:val="10"/>
              </w:rPr>
              <w:t>65</w:t>
            </w:r>
          </w:p>
        </w:tc>
      </w:tr>
      <w:tr w:rsidR="00DC6F26" w:rsidTr="00F4166B">
        <w:trPr>
          <w:trHeight w:val="1063"/>
        </w:trPr>
        <w:tc>
          <w:tcPr>
            <w:tcW w:w="1555" w:type="dxa"/>
            <w:tcBorders>
              <w:top w:val="single" w:sz="4" w:space="0" w:color="auto"/>
              <w:left w:val="single" w:sz="4" w:space="0" w:color="auto"/>
              <w:bottom w:val="single" w:sz="4" w:space="0" w:color="auto"/>
              <w:right w:val="single" w:sz="4" w:space="0" w:color="auto"/>
            </w:tcBorders>
            <w:vAlign w:val="center"/>
          </w:tcPr>
          <w:p w:rsidR="00DC6F26" w:rsidRDefault="00DC6F26" w:rsidP="00F4166B">
            <w:pPr>
              <w:spacing w:beforeLines="50" w:before="156" w:afterLines="50" w:after="156" w:line="340" w:lineRule="exact"/>
              <w:jc w:val="center"/>
              <w:rPr>
                <w:rFonts w:ascii="仿宋_GB2312" w:hAnsi="楷体"/>
                <w:spacing w:val="10"/>
              </w:rPr>
            </w:pPr>
            <w:r>
              <w:rPr>
                <w:rFonts w:ascii="仿宋_GB2312" w:hAnsi="楷体"/>
                <w:spacing w:val="10"/>
              </w:rPr>
              <w:t>三等奖</w:t>
            </w:r>
          </w:p>
        </w:tc>
        <w:tc>
          <w:tcPr>
            <w:tcW w:w="1140" w:type="dxa"/>
            <w:tcBorders>
              <w:top w:val="single" w:sz="4" w:space="0" w:color="auto"/>
              <w:left w:val="nil"/>
              <w:bottom w:val="single" w:sz="4" w:space="0" w:color="auto"/>
              <w:right w:val="single" w:sz="4" w:space="0" w:color="auto"/>
            </w:tcBorders>
            <w:vAlign w:val="center"/>
          </w:tcPr>
          <w:p w:rsidR="00DC6F26" w:rsidRDefault="00DC6F26" w:rsidP="00F4166B">
            <w:pPr>
              <w:spacing w:beforeLines="50" w:before="156" w:afterLines="50" w:after="156" w:line="340" w:lineRule="exact"/>
              <w:jc w:val="center"/>
              <w:rPr>
                <w:rFonts w:ascii="仿宋_GB2312" w:hAnsi="楷体"/>
                <w:spacing w:val="10"/>
              </w:rPr>
            </w:pPr>
            <w:r>
              <w:rPr>
                <w:rFonts w:ascii="仿宋_GB2312" w:hAnsi="楷体"/>
                <w:spacing w:val="10"/>
              </w:rPr>
              <w:t>≥</w:t>
            </w:r>
            <w:r>
              <w:rPr>
                <w:rFonts w:ascii="仿宋_GB2312" w:hAnsi="楷体"/>
                <w:spacing w:val="10"/>
              </w:rPr>
              <w:t>70</w:t>
            </w:r>
          </w:p>
        </w:tc>
        <w:tc>
          <w:tcPr>
            <w:tcW w:w="1080" w:type="dxa"/>
            <w:tcBorders>
              <w:top w:val="single" w:sz="4" w:space="0" w:color="auto"/>
              <w:left w:val="nil"/>
              <w:bottom w:val="single" w:sz="4" w:space="0" w:color="auto"/>
              <w:right w:val="single" w:sz="4" w:space="0" w:color="auto"/>
            </w:tcBorders>
            <w:vAlign w:val="center"/>
          </w:tcPr>
          <w:p w:rsidR="00DC6F26" w:rsidRDefault="00DC6F26" w:rsidP="00F4166B">
            <w:pPr>
              <w:spacing w:beforeLines="50" w:before="156" w:afterLines="50" w:after="156" w:line="340" w:lineRule="exact"/>
              <w:jc w:val="center"/>
              <w:rPr>
                <w:rFonts w:ascii="仿宋_GB2312" w:hAnsi="楷体"/>
                <w:spacing w:val="10"/>
              </w:rPr>
            </w:pPr>
            <w:r>
              <w:rPr>
                <w:rFonts w:ascii="仿宋_GB2312" w:hAnsi="楷体"/>
                <w:spacing w:val="10"/>
              </w:rPr>
              <w:t>≥</w:t>
            </w:r>
            <w:r>
              <w:rPr>
                <w:rFonts w:ascii="仿宋_GB2312" w:hAnsi="楷体"/>
                <w:spacing w:val="10"/>
              </w:rPr>
              <w:t>70</w:t>
            </w:r>
          </w:p>
        </w:tc>
        <w:tc>
          <w:tcPr>
            <w:tcW w:w="1800" w:type="dxa"/>
            <w:tcBorders>
              <w:top w:val="single" w:sz="4" w:space="0" w:color="auto"/>
              <w:left w:val="nil"/>
              <w:bottom w:val="single" w:sz="4" w:space="0" w:color="auto"/>
              <w:right w:val="single" w:sz="4" w:space="0" w:color="auto"/>
            </w:tcBorders>
            <w:vAlign w:val="center"/>
          </w:tcPr>
          <w:p w:rsidR="00DC6F26" w:rsidRDefault="00DC6F26" w:rsidP="00F4166B">
            <w:pPr>
              <w:spacing w:line="340" w:lineRule="exact"/>
              <w:jc w:val="center"/>
              <w:rPr>
                <w:rFonts w:ascii="仿宋_GB2312" w:hAnsi="楷体"/>
                <w:spacing w:val="10"/>
              </w:rPr>
            </w:pPr>
            <w:r>
              <w:rPr>
                <w:rFonts w:ascii="仿宋_GB2312" w:hAnsi="楷体"/>
                <w:spacing w:val="10"/>
              </w:rPr>
              <w:t>≥</w:t>
            </w:r>
            <w:r>
              <w:rPr>
                <w:rFonts w:ascii="仿宋_GB2312" w:hAnsi="楷体"/>
                <w:spacing w:val="10"/>
              </w:rPr>
              <w:t>60</w:t>
            </w:r>
          </w:p>
          <w:p w:rsidR="00DC6F26" w:rsidRDefault="00DC6F26" w:rsidP="00F4166B">
            <w:pPr>
              <w:spacing w:line="340" w:lineRule="exact"/>
              <w:jc w:val="center"/>
              <w:rPr>
                <w:rFonts w:ascii="仿宋_GB2312" w:hAnsi="楷体"/>
                <w:spacing w:val="10"/>
              </w:rPr>
            </w:pPr>
            <w:r>
              <w:rPr>
                <w:rFonts w:ascii="仿宋_GB2312" w:hAnsi="楷体"/>
                <w:spacing w:val="10"/>
              </w:rPr>
              <w:t>或</w:t>
            </w:r>
            <w:r>
              <w:rPr>
                <w:rFonts w:ascii="仿宋_GB2312" w:hAnsi="楷体"/>
                <w:spacing w:val="10"/>
              </w:rPr>
              <w:t>C</w:t>
            </w:r>
            <w:r>
              <w:rPr>
                <w:rFonts w:ascii="仿宋_GB2312" w:hAnsi="楷体"/>
                <w:spacing w:val="10"/>
                <w:vertAlign w:val="superscript"/>
              </w:rPr>
              <w:t>－</w:t>
            </w:r>
            <w:r>
              <w:rPr>
                <w:rFonts w:ascii="仿宋_GB2312" w:hAnsi="楷体"/>
                <w:spacing w:val="10"/>
              </w:rPr>
              <w:t>及以上</w:t>
            </w:r>
          </w:p>
        </w:tc>
        <w:tc>
          <w:tcPr>
            <w:tcW w:w="1678" w:type="dxa"/>
            <w:tcBorders>
              <w:top w:val="single" w:sz="4" w:space="0" w:color="auto"/>
              <w:left w:val="nil"/>
              <w:bottom w:val="single" w:sz="4" w:space="0" w:color="auto"/>
              <w:right w:val="single" w:sz="4" w:space="0" w:color="auto"/>
            </w:tcBorders>
            <w:vAlign w:val="center"/>
          </w:tcPr>
          <w:p w:rsidR="00DC6F26" w:rsidRDefault="00DC6F26" w:rsidP="00F4166B">
            <w:pPr>
              <w:spacing w:beforeLines="50" w:before="156" w:afterLines="50" w:after="156" w:line="340" w:lineRule="exact"/>
              <w:jc w:val="center"/>
              <w:rPr>
                <w:rFonts w:ascii="仿宋_GB2312" w:hAnsi="楷体"/>
                <w:spacing w:val="10"/>
              </w:rPr>
            </w:pPr>
          </w:p>
        </w:tc>
        <w:tc>
          <w:tcPr>
            <w:tcW w:w="1134" w:type="dxa"/>
            <w:tcBorders>
              <w:top w:val="single" w:sz="4" w:space="0" w:color="auto"/>
              <w:left w:val="nil"/>
              <w:bottom w:val="single" w:sz="4" w:space="0" w:color="auto"/>
              <w:right w:val="single" w:sz="4" w:space="0" w:color="auto"/>
            </w:tcBorders>
            <w:vAlign w:val="center"/>
          </w:tcPr>
          <w:p w:rsidR="00DC6F26" w:rsidRDefault="00DC6F26" w:rsidP="00F4166B">
            <w:pPr>
              <w:spacing w:beforeLines="50" w:before="156" w:afterLines="50" w:after="156" w:line="340" w:lineRule="exact"/>
              <w:jc w:val="center"/>
              <w:rPr>
                <w:rFonts w:ascii="仿宋_GB2312" w:hAnsi="楷体"/>
                <w:spacing w:val="10"/>
              </w:rPr>
            </w:pPr>
            <w:r>
              <w:rPr>
                <w:rFonts w:ascii="仿宋_GB2312" w:hAnsi="楷体"/>
                <w:spacing w:val="10"/>
              </w:rPr>
              <w:t>≥</w:t>
            </w:r>
            <w:r>
              <w:rPr>
                <w:rFonts w:ascii="仿宋_GB2312" w:hAnsi="楷体"/>
                <w:spacing w:val="10"/>
              </w:rPr>
              <w:t>60</w:t>
            </w:r>
          </w:p>
        </w:tc>
      </w:tr>
    </w:tbl>
    <w:p w:rsidR="00DC6F26" w:rsidRDefault="00DC6F26" w:rsidP="00DC6F26">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5.1.4 申报奖学金的同学需填写《奖学金登记表》。各学院还需要对卓越奖学金</w:t>
      </w:r>
      <w:r>
        <w:rPr>
          <w:rFonts w:asciiTheme="minorEastAsia" w:hAnsiTheme="minorEastAsia" w:hint="eastAsia"/>
          <w:sz w:val="24"/>
          <w:szCs w:val="24"/>
        </w:rPr>
        <w:lastRenderedPageBreak/>
        <w:t>候选人进行汇总，填写《卓越奖学金候选人情况汇总表》。</w:t>
      </w:r>
    </w:p>
    <w:p w:rsidR="00DC6F26" w:rsidRDefault="00DC6F26" w:rsidP="00DC6F26">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2</w:t>
      </w:r>
      <w:r>
        <w:rPr>
          <w:rFonts w:asciiTheme="minorEastAsia" w:hAnsiTheme="minorEastAsia" w:hint="eastAsia"/>
          <w:sz w:val="24"/>
          <w:szCs w:val="24"/>
        </w:rPr>
        <w:t>“优秀学生”的评选</w:t>
      </w:r>
    </w:p>
    <w:p w:rsidR="00DC6F26" w:rsidRDefault="00DC6F26" w:rsidP="00DC6F26">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2</w:t>
      </w:r>
      <w:r>
        <w:rPr>
          <w:rFonts w:asciiTheme="minorEastAsia" w:hAnsiTheme="minorEastAsia" w:hint="eastAsia"/>
          <w:sz w:val="24"/>
          <w:szCs w:val="24"/>
        </w:rPr>
        <w:t>.1“优秀学生”以综合测评成绩为依据，从三等奖学金及以上获得者中评选，每学年评选一次。名额为各年级专业奖学金获得者的30%，以专业年级为单位统一评选，并填写《优秀学生登记表》。</w:t>
      </w:r>
    </w:p>
    <w:p w:rsidR="00DC6F26" w:rsidRDefault="00DC6F26" w:rsidP="00DC6F26">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2</w:t>
      </w:r>
      <w:r>
        <w:rPr>
          <w:rFonts w:asciiTheme="minorEastAsia" w:hAnsiTheme="minorEastAsia" w:hint="eastAsia"/>
          <w:sz w:val="24"/>
          <w:szCs w:val="24"/>
        </w:rPr>
        <w:t>.2优秀学生应具备的基本条件：</w:t>
      </w:r>
    </w:p>
    <w:p w:rsidR="00DC6F26" w:rsidRDefault="00DC6F26" w:rsidP="00DC6F26">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1）思想品德好。坚持四项基本原则，热爱祖国，拥护中国共产党，政治上要求进步，遵纪守法，尊敬师长，团结同学，关心集体，助人为乐，敢于同不良倾向做斗争。</w:t>
      </w:r>
    </w:p>
    <w:p w:rsidR="00DC6F26" w:rsidRDefault="00DC6F26" w:rsidP="00DC6F26">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2）学习好。学习目的明确，态度端正；刻苦努力，能较好掌握各门功课的基本知识和技能，认真完成课内外作业，无补考、旷课和作弊现象。</w:t>
      </w:r>
    </w:p>
    <w:p w:rsidR="00DC6F26" w:rsidRDefault="00DC6F26" w:rsidP="00DC6F26">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3）身心好。身体健康，《国家学生体质健康标准》测试达到良以上，能坚持体育锻炼，踊跃参与学校组织的多种文艺活动；心理健康，积极参加</w:t>
      </w:r>
      <w:proofErr w:type="gramStart"/>
      <w:r>
        <w:rPr>
          <w:rFonts w:asciiTheme="minorEastAsia" w:hAnsiTheme="minorEastAsia" w:hint="eastAsia"/>
          <w:sz w:val="24"/>
          <w:szCs w:val="24"/>
        </w:rPr>
        <w:t>校文明</w:t>
      </w:r>
      <w:proofErr w:type="gramEnd"/>
      <w:r>
        <w:rPr>
          <w:rFonts w:asciiTheme="minorEastAsia" w:hAnsiTheme="minorEastAsia" w:hint="eastAsia"/>
          <w:sz w:val="24"/>
          <w:szCs w:val="24"/>
        </w:rPr>
        <w:t>修身、三级建家创建活动，倡导和谐心态，成就健康心理，讲究清洁卫生，无不良生活习惯，其所在寝室被评为“优秀之家”寝室及以上，文明修身成绩良好以上。</w:t>
      </w:r>
    </w:p>
    <w:p w:rsidR="00DC6F26" w:rsidRDefault="00DC6F26" w:rsidP="00DC6F26">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2</w:t>
      </w:r>
      <w:r>
        <w:rPr>
          <w:rFonts w:asciiTheme="minorEastAsia" w:hAnsiTheme="minorEastAsia" w:hint="eastAsia"/>
          <w:sz w:val="24"/>
          <w:szCs w:val="24"/>
        </w:rPr>
        <w:t>.3“优秀学生”评定要坚持德、智、体全面衡量。</w:t>
      </w:r>
    </w:p>
    <w:p w:rsidR="00DC6F26" w:rsidRDefault="00DC6F26" w:rsidP="00DC6F26">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2</w:t>
      </w:r>
      <w:r>
        <w:rPr>
          <w:rFonts w:asciiTheme="minorEastAsia" w:hAnsiTheme="minorEastAsia" w:hint="eastAsia"/>
          <w:sz w:val="24"/>
          <w:szCs w:val="24"/>
        </w:rPr>
        <w:t>.4奖励以精神鼓励为主，学院公示无异议后，填写《优秀学生汇总表》上报学校，由学校进行公开表彰，授予荣誉证书，并记入学生档案。</w:t>
      </w:r>
    </w:p>
    <w:p w:rsidR="00DC6F26" w:rsidRDefault="00DC6F26" w:rsidP="00DC6F26">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3</w:t>
      </w:r>
      <w:r>
        <w:rPr>
          <w:rFonts w:asciiTheme="minorEastAsia" w:hAnsiTheme="minorEastAsia" w:hint="eastAsia"/>
          <w:sz w:val="24"/>
          <w:szCs w:val="24"/>
        </w:rPr>
        <w:t>“优秀学生干部”的评选</w:t>
      </w:r>
    </w:p>
    <w:p w:rsidR="00DC6F26" w:rsidRDefault="00DC6F26" w:rsidP="00DC6F26">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3</w:t>
      </w:r>
      <w:r>
        <w:rPr>
          <w:rFonts w:asciiTheme="minorEastAsia" w:hAnsiTheme="minorEastAsia" w:hint="eastAsia"/>
          <w:sz w:val="24"/>
          <w:szCs w:val="24"/>
        </w:rPr>
        <w:t>.1“优秀学生干部”在班委、团支委以上的学生干部中评选，以班为单位，评定名额为学生干部总数的10%，原则上各行政班1名。所有学生组织都</w:t>
      </w:r>
      <w:proofErr w:type="gramStart"/>
      <w:r>
        <w:rPr>
          <w:rFonts w:asciiTheme="minorEastAsia" w:hAnsiTheme="minorEastAsia" w:hint="eastAsia"/>
          <w:sz w:val="24"/>
          <w:szCs w:val="24"/>
        </w:rPr>
        <w:t>纳入团口</w:t>
      </w:r>
      <w:proofErr w:type="gramEnd"/>
      <w:r>
        <w:rPr>
          <w:rFonts w:asciiTheme="minorEastAsia" w:hAnsiTheme="minorEastAsia" w:hint="eastAsia"/>
          <w:sz w:val="24"/>
          <w:szCs w:val="24"/>
        </w:rPr>
        <w:t>统筹分配名额，校级学生组织由校团委统筹分配，院级学生组织</w:t>
      </w:r>
      <w:proofErr w:type="gramStart"/>
      <w:r>
        <w:rPr>
          <w:rFonts w:asciiTheme="minorEastAsia" w:hAnsiTheme="minorEastAsia" w:hint="eastAsia"/>
          <w:sz w:val="24"/>
          <w:szCs w:val="24"/>
        </w:rPr>
        <w:t>由院分团委</w:t>
      </w:r>
      <w:proofErr w:type="gramEnd"/>
      <w:r>
        <w:rPr>
          <w:rFonts w:asciiTheme="minorEastAsia" w:hAnsiTheme="minorEastAsia" w:hint="eastAsia"/>
          <w:sz w:val="24"/>
          <w:szCs w:val="24"/>
        </w:rPr>
        <w:t>统筹分配。评选时应同学</w:t>
      </w:r>
      <w:proofErr w:type="gramStart"/>
      <w:r>
        <w:rPr>
          <w:rFonts w:asciiTheme="minorEastAsia" w:hAnsiTheme="minorEastAsia" w:hint="eastAsia"/>
          <w:sz w:val="24"/>
          <w:szCs w:val="24"/>
        </w:rPr>
        <w:t>生干部</w:t>
      </w:r>
      <w:proofErr w:type="gramEnd"/>
      <w:r>
        <w:rPr>
          <w:rFonts w:asciiTheme="minorEastAsia" w:hAnsiTheme="minorEastAsia" w:hint="eastAsia"/>
          <w:sz w:val="24"/>
          <w:szCs w:val="24"/>
        </w:rPr>
        <w:t>所在班、专业协商，征求意见，校、学院学生干部也可参加所在专业评选，但不得重评。评选时并填写《优秀学生干部登记表》。</w:t>
      </w:r>
    </w:p>
    <w:p w:rsidR="00DC6F26" w:rsidRDefault="00DC6F26" w:rsidP="00DC6F26">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3</w:t>
      </w:r>
      <w:r>
        <w:rPr>
          <w:rFonts w:asciiTheme="minorEastAsia" w:hAnsiTheme="minorEastAsia" w:hint="eastAsia"/>
          <w:sz w:val="24"/>
          <w:szCs w:val="24"/>
        </w:rPr>
        <w:t>.2评选“优秀学生干部”的基本条件：</w:t>
      </w:r>
    </w:p>
    <w:p w:rsidR="00DC6F26" w:rsidRDefault="00DC6F26" w:rsidP="00DC6F26">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1）坚持四项基本原则，思想政治素质好；</w:t>
      </w:r>
    </w:p>
    <w:p w:rsidR="00DC6F26" w:rsidRDefault="00DC6F26" w:rsidP="00DC6F26">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2）任职一学期及以上，热心为同学服务，工作认真负责，积极肯干，以身作则，</w:t>
      </w:r>
      <w:r>
        <w:rPr>
          <w:rFonts w:asciiTheme="minorEastAsia" w:hAnsiTheme="minorEastAsia" w:hint="eastAsia"/>
          <w:sz w:val="24"/>
          <w:szCs w:val="24"/>
        </w:rPr>
        <w:lastRenderedPageBreak/>
        <w:t>作风正派，坚持原则，工作成绩显著，其所在寝室被评为“优秀之家”寝室及以上；</w:t>
      </w:r>
    </w:p>
    <w:p w:rsidR="00DC6F26" w:rsidRDefault="00DC6F26" w:rsidP="00DC6F26">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3）学习认真，文明修身成绩良好以上，其它各门功课成绩均在及格以上（含及格），平均分75分以上；</w:t>
      </w:r>
    </w:p>
    <w:p w:rsidR="00DC6F26" w:rsidRDefault="00DC6F26" w:rsidP="00DC6F26">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4）德、智、体综合测评成绩列班级前30%。</w:t>
      </w:r>
    </w:p>
    <w:p w:rsidR="00DC6F26" w:rsidRDefault="00DC6F26" w:rsidP="00DC6F26">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3</w:t>
      </w:r>
      <w:r>
        <w:rPr>
          <w:rFonts w:asciiTheme="minorEastAsia" w:hAnsiTheme="minorEastAsia" w:hint="eastAsia"/>
          <w:sz w:val="24"/>
          <w:szCs w:val="24"/>
        </w:rPr>
        <w:t>.3优秀学生干部每学年评定一次，优秀学生干部奖励以精神奖励为主，学院公示无异议后填写《优秀学生干部汇总表》上报学校，由学校进行公开表彰，授予荣誉证书，并记入学生档案。</w:t>
      </w:r>
    </w:p>
    <w:p w:rsidR="00DC6F26" w:rsidRDefault="00DC6F26" w:rsidP="00DC6F26">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4</w:t>
      </w:r>
      <w:r>
        <w:rPr>
          <w:rFonts w:asciiTheme="minorEastAsia" w:hAnsiTheme="minorEastAsia" w:hint="eastAsia"/>
          <w:sz w:val="24"/>
          <w:szCs w:val="24"/>
        </w:rPr>
        <w:t>学生评优审定</w:t>
      </w:r>
    </w:p>
    <w:p w:rsidR="00DC6F26" w:rsidRDefault="00DC6F26" w:rsidP="00DC6F26">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4</w:t>
      </w:r>
      <w:r>
        <w:rPr>
          <w:rFonts w:asciiTheme="minorEastAsia" w:hAnsiTheme="minorEastAsia" w:hint="eastAsia"/>
          <w:sz w:val="24"/>
          <w:szCs w:val="24"/>
        </w:rPr>
        <w:t>.1有下列情形之一者，不得评为奖学金获得者、“优秀学生”、“优秀学生干部”：</w:t>
      </w:r>
    </w:p>
    <w:p w:rsidR="00DC6F26" w:rsidRDefault="00DC6F26" w:rsidP="00DC6F26">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1）当年违反校纪校规受处分者；</w:t>
      </w:r>
    </w:p>
    <w:p w:rsidR="00DC6F26" w:rsidRDefault="00DC6F26" w:rsidP="00DC6F26">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2）在校学习期间，有不文明行为者；</w:t>
      </w:r>
    </w:p>
    <w:p w:rsidR="00DC6F26" w:rsidRDefault="00DC6F26" w:rsidP="00DC6F26">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3）有旷课行为者或缺交作业三次以上（含三次）者；</w:t>
      </w:r>
    </w:p>
    <w:p w:rsidR="00DC6F26" w:rsidRDefault="00DC6F26" w:rsidP="00DC6F26">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4）无故不参加劳动（含大扫除）者；</w:t>
      </w:r>
    </w:p>
    <w:p w:rsidR="00DC6F26" w:rsidRDefault="00DC6F26" w:rsidP="00DC6F26">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5）不关心集体，经常不参加集体活动者；</w:t>
      </w:r>
    </w:p>
    <w:p w:rsidR="00DC6F26" w:rsidRDefault="00DC6F26" w:rsidP="00DC6F26">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6）年度寝室检查评比未达到“合格之家”以上寝室者；</w:t>
      </w:r>
    </w:p>
    <w:p w:rsidR="00DC6F26" w:rsidRDefault="00DC6F26" w:rsidP="00DC6F26">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7）在校内禁烟区抽烟被查实，经教育后仍犯，造成不良影响者；</w:t>
      </w:r>
    </w:p>
    <w:p w:rsidR="00DC6F26" w:rsidRDefault="00DC6F26" w:rsidP="00DC6F26">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8）其他方面表现不好者。</w:t>
      </w:r>
    </w:p>
    <w:p w:rsidR="00DC6F26" w:rsidRDefault="00DC6F26" w:rsidP="00DC6F26">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4</w:t>
      </w:r>
      <w:r>
        <w:rPr>
          <w:rFonts w:asciiTheme="minorEastAsia" w:hAnsiTheme="minorEastAsia" w:hint="eastAsia"/>
          <w:sz w:val="24"/>
          <w:szCs w:val="24"/>
        </w:rPr>
        <w:t>.2奖学金、“优秀学生”、“优秀学生干部”每年评定一次，各学院初评后，将奖学金获得者、“优秀学生”、“优秀学生干部”的名单交学生处、教务处审核，上报学校评选委员会批准。</w:t>
      </w:r>
    </w:p>
    <w:p w:rsidR="00DC6F26" w:rsidRDefault="00DC6F26" w:rsidP="00DC6F26">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4</w:t>
      </w:r>
      <w:r>
        <w:rPr>
          <w:rFonts w:asciiTheme="minorEastAsia" w:hAnsiTheme="minorEastAsia" w:hint="eastAsia"/>
          <w:sz w:val="24"/>
          <w:szCs w:val="24"/>
        </w:rPr>
        <w:t>.3学校评选委员会在复审过程中，如发现不符合条件者，有权予以取消，其名额不得另行替补。</w:t>
      </w:r>
    </w:p>
    <w:p w:rsidR="00DC6F26" w:rsidRDefault="00DC6F26" w:rsidP="00DC6F26">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5</w:t>
      </w:r>
      <w:r>
        <w:rPr>
          <w:rFonts w:asciiTheme="minorEastAsia" w:hAnsiTheme="minorEastAsia" w:hint="eastAsia"/>
          <w:sz w:val="24"/>
          <w:szCs w:val="24"/>
        </w:rPr>
        <w:t>“先进班集体”的评选</w:t>
      </w:r>
    </w:p>
    <w:p w:rsidR="00DC6F26" w:rsidRDefault="00DC6F26" w:rsidP="00DC6F26">
      <w:pPr>
        <w:spacing w:line="360" w:lineRule="auto"/>
        <w:ind w:left="480" w:hangingChars="200" w:hanging="480"/>
        <w:rPr>
          <w:rFonts w:asciiTheme="minorEastAsia" w:hAnsiTheme="minorEastAsia"/>
          <w:b/>
          <w:bCs/>
          <w:sz w:val="24"/>
          <w:szCs w:val="24"/>
        </w:rPr>
      </w:pPr>
      <w:r>
        <w:rPr>
          <w:rFonts w:asciiTheme="minorEastAsia" w:hAnsiTheme="minorEastAsia" w:hint="eastAsia"/>
          <w:sz w:val="24"/>
          <w:szCs w:val="24"/>
        </w:rPr>
        <w:t>5.</w:t>
      </w:r>
      <w:r>
        <w:rPr>
          <w:rFonts w:asciiTheme="minorEastAsia" w:hAnsiTheme="minorEastAsia"/>
          <w:sz w:val="24"/>
          <w:szCs w:val="24"/>
        </w:rPr>
        <w:t>5</w:t>
      </w:r>
      <w:r>
        <w:rPr>
          <w:rFonts w:asciiTheme="minorEastAsia" w:hAnsiTheme="minorEastAsia" w:hint="eastAsia"/>
          <w:sz w:val="24"/>
          <w:szCs w:val="24"/>
        </w:rPr>
        <w:t>.1“先进班集体”按参评班级总数的10%评选，由班级提出申请，各学院负责推荐，学生处牵头组织评议，在严格审查的基础上，最后由评议组评议、表决产生，并填写《先进</w:t>
      </w:r>
      <w:r>
        <w:rPr>
          <w:rFonts w:asciiTheme="minorEastAsia" w:hAnsiTheme="minorEastAsia"/>
          <w:sz w:val="24"/>
          <w:szCs w:val="24"/>
        </w:rPr>
        <w:t>班集体登记</w:t>
      </w:r>
      <w:r>
        <w:rPr>
          <w:rFonts w:asciiTheme="minorEastAsia" w:hAnsiTheme="minorEastAsia" w:hint="eastAsia"/>
          <w:sz w:val="24"/>
          <w:szCs w:val="24"/>
        </w:rPr>
        <w:t>表》。</w:t>
      </w:r>
      <w:proofErr w:type="gramStart"/>
      <w:r>
        <w:rPr>
          <w:rFonts w:asciiTheme="minorEastAsia" w:hAnsiTheme="minorEastAsia" w:hint="eastAsia"/>
          <w:sz w:val="24"/>
          <w:szCs w:val="24"/>
        </w:rPr>
        <w:t>若参</w:t>
      </w:r>
      <w:proofErr w:type="gramEnd"/>
      <w:r>
        <w:rPr>
          <w:rFonts w:asciiTheme="minorEastAsia" w:hAnsiTheme="minorEastAsia" w:hint="eastAsia"/>
          <w:sz w:val="24"/>
          <w:szCs w:val="24"/>
        </w:rPr>
        <w:t>评班级人数不足30人的小班，适当进行合并后计算评奖名额。</w:t>
      </w:r>
    </w:p>
    <w:p w:rsidR="00DC6F26" w:rsidRDefault="00DC6F26" w:rsidP="00DC6F26">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lastRenderedPageBreak/>
        <w:t>5.</w:t>
      </w:r>
      <w:r>
        <w:rPr>
          <w:rFonts w:asciiTheme="minorEastAsia" w:hAnsiTheme="minorEastAsia"/>
          <w:sz w:val="24"/>
          <w:szCs w:val="24"/>
        </w:rPr>
        <w:t>5</w:t>
      </w:r>
      <w:r>
        <w:rPr>
          <w:rFonts w:asciiTheme="minorEastAsia" w:hAnsiTheme="minorEastAsia" w:hint="eastAsia"/>
          <w:sz w:val="24"/>
          <w:szCs w:val="24"/>
        </w:rPr>
        <w:t>.2“先进班集体”评选条件：</w:t>
      </w:r>
    </w:p>
    <w:p w:rsidR="00DC6F26" w:rsidRDefault="00DC6F26" w:rsidP="00DC6F26">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1）班集体成员团结友爱、关心集体、奋发向上，做到有健康的政治风气、有严明的校纪校规、有浓厚的学习风气；</w:t>
      </w:r>
    </w:p>
    <w:p w:rsidR="00DC6F26" w:rsidRDefault="00DC6F26" w:rsidP="00DC6F26">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2）学风好，考风正，绝大多数同学能虚心好学，刻苦钻研，学习成绩有明显提高，考试无作弊现象；</w:t>
      </w:r>
    </w:p>
    <w:p w:rsidR="00DC6F26" w:rsidRDefault="00DC6F26" w:rsidP="00DC6F26">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3）文娱、体育等各项活动开展活跃，既有群众性又能在各项竞赛中取得良好成绩。</w:t>
      </w:r>
    </w:p>
    <w:p w:rsidR="00DC6F26" w:rsidRDefault="00DC6F26" w:rsidP="00DC6F26">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4）绝大多数同学能积极参加各项公益活动，教室、宿舍、卫生包干区能坚持打扫干净，在卫生评比中居前列；所在教室卫生在检查中无不合格现象；班级寝室“合格之家”及以上达90%（其中“优秀之家”及以上达20%、“模范之家”达10%）。</w:t>
      </w:r>
    </w:p>
    <w:p w:rsidR="00DC6F26" w:rsidRDefault="00DC6F26" w:rsidP="00DC6F26">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5）能遵守学校各项规章制度，全班无一严重违纪现象，无一有损学院荣誉的事件；</w:t>
      </w:r>
    </w:p>
    <w:p w:rsidR="00DC6F26" w:rsidRDefault="00DC6F26" w:rsidP="00DC6F26">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6）班委与团支部密切配合开展工作，能发挥核心作用，干部齐心协力，充分发扬民主，能起模范带头作用。</w:t>
      </w:r>
    </w:p>
    <w:p w:rsidR="00DC6F26" w:rsidRDefault="00DC6F26" w:rsidP="00DC6F26">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7）班集体心理健康知识宣传广泛，通过开展主题班会等心理活动，提高同学的心理素质，帮助同学健康成长，让心灵充满阳光，从而构建和谐班集体。</w:t>
      </w:r>
    </w:p>
    <w:p w:rsidR="00DC6F26" w:rsidRDefault="00DC6F26" w:rsidP="00DC6F26">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5</w:t>
      </w:r>
      <w:r>
        <w:rPr>
          <w:rFonts w:asciiTheme="minorEastAsia" w:hAnsiTheme="minorEastAsia" w:hint="eastAsia"/>
          <w:sz w:val="24"/>
          <w:szCs w:val="24"/>
        </w:rPr>
        <w:t>.3“先进班集体”每年评选一次，新生建班不到一年，不参加评选，奖励以精神鼓励为主，学院公示无异议后填写《先进班集体汇总表》上报学校，由学校进行公开表彰，授予奖状或锦旗，并给予一定的物质奖励。</w:t>
      </w:r>
    </w:p>
    <w:p w:rsidR="00DC6F26" w:rsidRDefault="00DC6F26" w:rsidP="00DC6F26">
      <w:pPr>
        <w:spacing w:line="360" w:lineRule="auto"/>
        <w:ind w:left="480" w:hangingChars="200" w:hanging="480"/>
        <w:rPr>
          <w:rFonts w:asciiTheme="minorEastAsia" w:hAnsiTheme="minorEastAsia"/>
          <w:sz w:val="24"/>
          <w:szCs w:val="24"/>
        </w:rPr>
      </w:pPr>
    </w:p>
    <w:p w:rsidR="0009367D" w:rsidRPr="00DC6F26" w:rsidRDefault="0009367D">
      <w:bookmarkStart w:id="0" w:name="_GoBack"/>
      <w:bookmarkEnd w:id="0"/>
    </w:p>
    <w:sectPr w:rsidR="0009367D" w:rsidRPr="00DC6F26" w:rsidSect="000936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C6F26"/>
    <w:rsid w:val="0009367D"/>
    <w:rsid w:val="00691A01"/>
    <w:rsid w:val="007764FF"/>
    <w:rsid w:val="00DC6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F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524</Words>
  <Characters>2989</Characters>
  <Application>Microsoft Office Word</Application>
  <DocSecurity>0</DocSecurity>
  <Lines>24</Lines>
  <Paragraphs>7</Paragraphs>
  <ScaleCrop>false</ScaleCrop>
  <Company>china</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2020-06-08T02:38:00Z</dcterms:created>
  <dcterms:modified xsi:type="dcterms:W3CDTF">2020-06-08T02:39:00Z</dcterms:modified>
</cp:coreProperties>
</file>