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E6C81" w14:textId="77777777" w:rsidR="00630AEA" w:rsidRDefault="00630AEA" w:rsidP="00630AEA">
      <w:pPr>
        <w:tabs>
          <w:tab w:val="left" w:pos="5940"/>
        </w:tabs>
        <w:snapToGrid w:val="0"/>
        <w:spacing w:beforeLines="50" w:before="156" w:afterLines="50" w:after="156" w:line="500" w:lineRule="exact"/>
        <w:rPr>
          <w:rFonts w:ascii="黑体" w:eastAsia="黑体" w:hAnsi="黑体"/>
          <w:sz w:val="32"/>
          <w:szCs w:val="32"/>
        </w:rPr>
      </w:pPr>
      <w:r w:rsidRPr="003A78FF">
        <w:rPr>
          <w:rFonts w:ascii="黑体" w:eastAsia="黑体" w:hAnsi="黑体" w:hint="eastAsia"/>
          <w:sz w:val="32"/>
          <w:szCs w:val="32"/>
        </w:rPr>
        <w:t>附件</w:t>
      </w:r>
      <w:r w:rsidRPr="003A78FF">
        <w:rPr>
          <w:rFonts w:ascii="黑体" w:eastAsia="黑体" w:hAnsi="黑体"/>
          <w:sz w:val="32"/>
          <w:szCs w:val="32"/>
        </w:rPr>
        <w:t>2</w:t>
      </w:r>
    </w:p>
    <w:p w14:paraId="06D56430" w14:textId="77777777" w:rsidR="00630AEA" w:rsidRPr="003A78FF" w:rsidRDefault="00630AEA" w:rsidP="00630AEA">
      <w:pPr>
        <w:tabs>
          <w:tab w:val="left" w:pos="5940"/>
        </w:tabs>
        <w:snapToGrid w:val="0"/>
        <w:spacing w:beforeLines="50" w:before="156" w:afterLines="50" w:after="156" w:line="500" w:lineRule="exact"/>
        <w:rPr>
          <w:rFonts w:ascii="黑体" w:eastAsia="黑体" w:hAnsi="黑体"/>
          <w:sz w:val="32"/>
          <w:szCs w:val="32"/>
        </w:rPr>
      </w:pPr>
    </w:p>
    <w:p w14:paraId="43713850" w14:textId="77777777" w:rsidR="00630AEA" w:rsidRPr="003A78FF" w:rsidRDefault="00630AEA" w:rsidP="00630AEA">
      <w:pPr>
        <w:snapToGrid w:val="0"/>
        <w:spacing w:beforeLines="100" w:before="312" w:afterLines="100" w:after="312" w:line="4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3A78FF">
        <w:rPr>
          <w:rFonts w:ascii="方正小标宋简体" w:eastAsia="方正小标宋简体" w:hAnsi="宋体" w:cs="宋体" w:hint="eastAsia"/>
          <w:kern w:val="0"/>
          <w:sz w:val="40"/>
          <w:szCs w:val="40"/>
        </w:rPr>
        <w:t>上海建桥学院2021年教师教学竞赛评分表</w:t>
      </w:r>
    </w:p>
    <w:p w14:paraId="698A3BB6" w14:textId="77777777" w:rsidR="00630AEA" w:rsidRPr="003A78FF" w:rsidRDefault="00630AEA" w:rsidP="00630AEA">
      <w:pPr>
        <w:snapToGrid w:val="0"/>
        <w:spacing w:beforeLines="100" w:before="312" w:afterLines="100" w:after="312" w:line="460" w:lineRule="exact"/>
        <w:rPr>
          <w:rFonts w:ascii="楷体" w:eastAsia="楷体" w:hAnsi="楷体" w:cs="宋体"/>
          <w:b/>
          <w:kern w:val="0"/>
          <w:sz w:val="32"/>
          <w:szCs w:val="32"/>
        </w:rPr>
      </w:pPr>
      <w:r w:rsidRPr="003A78FF">
        <w:rPr>
          <w:rFonts w:ascii="楷体" w:eastAsia="楷体" w:hAnsi="楷体" w:cs="宋体" w:hint="eastAsia"/>
          <w:b/>
          <w:kern w:val="0"/>
          <w:sz w:val="32"/>
          <w:szCs w:val="32"/>
        </w:rPr>
        <w:t>（一）说课评分表</w:t>
      </w:r>
    </w:p>
    <w:tbl>
      <w:tblPr>
        <w:tblStyle w:val="ad"/>
        <w:tblW w:w="8810" w:type="dxa"/>
        <w:jc w:val="center"/>
        <w:tblLook w:val="04A0" w:firstRow="1" w:lastRow="0" w:firstColumn="1" w:lastColumn="0" w:noHBand="0" w:noVBand="1"/>
      </w:tblPr>
      <w:tblGrid>
        <w:gridCol w:w="1589"/>
        <w:gridCol w:w="6252"/>
        <w:gridCol w:w="969"/>
      </w:tblGrid>
      <w:tr w:rsidR="00630AEA" w:rsidRPr="009C69CF" w14:paraId="48D36663" w14:textId="77777777" w:rsidTr="0038606E">
        <w:trPr>
          <w:trHeight w:val="508"/>
          <w:jc w:val="center"/>
        </w:trPr>
        <w:tc>
          <w:tcPr>
            <w:tcW w:w="1589" w:type="dxa"/>
            <w:vAlign w:val="center"/>
          </w:tcPr>
          <w:p w14:paraId="7721AF79" w14:textId="77777777" w:rsidR="00630AEA" w:rsidRPr="009C69CF" w:rsidRDefault="00630AEA" w:rsidP="0038606E">
            <w:pPr>
              <w:pStyle w:val="TableParagraph"/>
              <w:kinsoku w:val="0"/>
              <w:overflowPunct w:val="0"/>
              <w:spacing w:before="31"/>
              <w:ind w:left="233"/>
              <w:rPr>
                <w:rFonts w:ascii="黑体" w:eastAsia="黑体" w:hAnsi="黑体" w:cs="Arial"/>
                <w:sz w:val="22"/>
                <w:lang w:val="en-GB"/>
              </w:rPr>
            </w:pPr>
            <w:r w:rsidRPr="009C69CF">
              <w:rPr>
                <w:rFonts w:ascii="黑体" w:eastAsia="黑体" w:hAnsi="黑体" w:cs="Arial" w:hint="eastAsia"/>
                <w:sz w:val="22"/>
                <w:lang w:val="en-GB"/>
              </w:rPr>
              <w:t>评价维度</w:t>
            </w:r>
          </w:p>
        </w:tc>
        <w:tc>
          <w:tcPr>
            <w:tcW w:w="6252" w:type="dxa"/>
            <w:vAlign w:val="center"/>
          </w:tcPr>
          <w:p w14:paraId="6255A68C" w14:textId="77777777" w:rsidR="00630AEA" w:rsidRPr="009C69CF" w:rsidRDefault="00630AEA" w:rsidP="0038606E">
            <w:pPr>
              <w:pStyle w:val="TableParagraph"/>
              <w:kinsoku w:val="0"/>
              <w:overflowPunct w:val="0"/>
              <w:spacing w:before="9"/>
              <w:ind w:right="24"/>
              <w:jc w:val="center"/>
              <w:rPr>
                <w:rFonts w:ascii="黑体" w:eastAsia="黑体" w:hAnsi="黑体" w:cs="Arial"/>
                <w:sz w:val="22"/>
                <w:lang w:val="en-GB"/>
              </w:rPr>
            </w:pPr>
            <w:r w:rsidRPr="009C69CF">
              <w:rPr>
                <w:rFonts w:ascii="黑体" w:eastAsia="黑体" w:hAnsi="黑体" w:cs="Arial" w:hint="eastAsia"/>
                <w:sz w:val="22"/>
                <w:lang w:val="en-GB"/>
              </w:rPr>
              <w:t>评价要点</w:t>
            </w:r>
          </w:p>
        </w:tc>
        <w:tc>
          <w:tcPr>
            <w:tcW w:w="969" w:type="dxa"/>
            <w:vAlign w:val="center"/>
          </w:tcPr>
          <w:p w14:paraId="0AE330CA" w14:textId="77777777" w:rsidR="00630AEA" w:rsidRPr="009C69CF" w:rsidRDefault="00630AEA" w:rsidP="0038606E">
            <w:pPr>
              <w:pStyle w:val="TableParagraph"/>
              <w:kinsoku w:val="0"/>
              <w:overflowPunct w:val="0"/>
              <w:spacing w:before="6"/>
              <w:ind w:left="190"/>
              <w:rPr>
                <w:rFonts w:ascii="黑体" w:eastAsia="黑体" w:hAnsi="黑体" w:cs="Arial"/>
                <w:sz w:val="22"/>
                <w:lang w:val="en-GB"/>
              </w:rPr>
            </w:pPr>
            <w:r w:rsidRPr="009C69CF">
              <w:rPr>
                <w:rFonts w:ascii="黑体" w:eastAsia="黑体" w:hAnsi="黑体" w:cs="Arial" w:hint="eastAsia"/>
                <w:sz w:val="22"/>
                <w:lang w:val="en-GB"/>
              </w:rPr>
              <w:t>分值</w:t>
            </w:r>
          </w:p>
        </w:tc>
      </w:tr>
      <w:tr w:rsidR="00630AEA" w14:paraId="72E1AB21" w14:textId="77777777" w:rsidTr="0038606E">
        <w:trPr>
          <w:trHeight w:val="808"/>
          <w:jc w:val="center"/>
        </w:trPr>
        <w:tc>
          <w:tcPr>
            <w:tcW w:w="1589" w:type="dxa"/>
            <w:vAlign w:val="center"/>
          </w:tcPr>
          <w:p w14:paraId="710BB5DC" w14:textId="77777777" w:rsidR="00630AEA" w:rsidRDefault="00630AEA" w:rsidP="0038606E">
            <w:pPr>
              <w:pStyle w:val="TableParagraph"/>
              <w:kinsoku w:val="0"/>
              <w:overflowPunct w:val="0"/>
              <w:spacing w:before="178"/>
              <w:ind w:left="125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理念与目标</w:t>
            </w:r>
          </w:p>
        </w:tc>
        <w:tc>
          <w:tcPr>
            <w:tcW w:w="6252" w:type="dxa"/>
            <w:vAlign w:val="center"/>
          </w:tcPr>
          <w:p w14:paraId="694CA737" w14:textId="77777777" w:rsidR="00630AEA" w:rsidRDefault="00630AEA" w:rsidP="0038606E">
            <w:pPr>
              <w:pStyle w:val="TableParagraph"/>
              <w:kinsoku w:val="0"/>
              <w:overflowPunct w:val="0"/>
              <w:spacing w:before="9" w:line="264" w:lineRule="auto"/>
              <w:ind w:right="120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课程教学贴合“以学生发展为中心”的理念，强调高阶能力以及情感价值的课程目标。</w:t>
            </w:r>
          </w:p>
        </w:tc>
        <w:tc>
          <w:tcPr>
            <w:tcW w:w="969" w:type="dxa"/>
            <w:vAlign w:val="center"/>
          </w:tcPr>
          <w:p w14:paraId="3CB7D135" w14:textId="77777777" w:rsidR="00630AEA" w:rsidRDefault="00630AEA" w:rsidP="0038606E">
            <w:pPr>
              <w:pStyle w:val="TableParagraph"/>
              <w:kinsoku w:val="0"/>
              <w:overflowPunct w:val="0"/>
              <w:spacing w:before="15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10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630AEA" w14:paraId="7E422158" w14:textId="77777777" w:rsidTr="0038606E">
        <w:trPr>
          <w:trHeight w:val="780"/>
          <w:jc w:val="center"/>
        </w:trPr>
        <w:tc>
          <w:tcPr>
            <w:tcW w:w="1589" w:type="dxa"/>
            <w:vMerge w:val="restart"/>
            <w:vAlign w:val="center"/>
          </w:tcPr>
          <w:p w14:paraId="566EF8C3" w14:textId="77777777" w:rsidR="00630AEA" w:rsidRDefault="00630AEA" w:rsidP="0038606E">
            <w:pPr>
              <w:pStyle w:val="TableParagraph"/>
              <w:kinsoku w:val="0"/>
              <w:overflowPunct w:val="0"/>
              <w:ind w:firstLineChars="50" w:firstLine="110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教学内容</w:t>
            </w:r>
          </w:p>
        </w:tc>
        <w:tc>
          <w:tcPr>
            <w:tcW w:w="6252" w:type="dxa"/>
            <w:vAlign w:val="center"/>
          </w:tcPr>
          <w:p w14:paraId="7A4A40B4" w14:textId="77777777" w:rsidR="00630AEA" w:rsidRDefault="00630AEA" w:rsidP="0038606E">
            <w:pPr>
              <w:pStyle w:val="TableParagraph"/>
              <w:kinsoku w:val="0"/>
              <w:overflowPunct w:val="0"/>
              <w:spacing w:before="27" w:line="264" w:lineRule="auto"/>
              <w:ind w:right="99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课程内容有深度、广度，反映学科前沿，渗透专业思想，使用质量高的教学资源。</w:t>
            </w:r>
          </w:p>
        </w:tc>
        <w:tc>
          <w:tcPr>
            <w:tcW w:w="969" w:type="dxa"/>
            <w:vMerge w:val="restart"/>
            <w:vAlign w:val="center"/>
          </w:tcPr>
          <w:p w14:paraId="0DA140DD" w14:textId="77777777" w:rsidR="00630AEA" w:rsidRDefault="00630AEA" w:rsidP="0038606E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40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630AEA" w14:paraId="6A86146D" w14:textId="77777777" w:rsidTr="0038606E">
        <w:trPr>
          <w:trHeight w:val="485"/>
          <w:jc w:val="center"/>
        </w:trPr>
        <w:tc>
          <w:tcPr>
            <w:tcW w:w="1589" w:type="dxa"/>
            <w:vMerge/>
            <w:vAlign w:val="center"/>
          </w:tcPr>
          <w:p w14:paraId="4A061C9D" w14:textId="77777777" w:rsidR="00630AEA" w:rsidRDefault="00630AEA" w:rsidP="0038606E">
            <w:pPr>
              <w:pStyle w:val="TableParagraph"/>
              <w:kinsoku w:val="0"/>
              <w:overflowPunct w:val="0"/>
              <w:ind w:left="176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vAlign w:val="center"/>
          </w:tcPr>
          <w:p w14:paraId="67847F63" w14:textId="77777777" w:rsidR="00630AEA" w:rsidRDefault="00630AEA" w:rsidP="0038606E">
            <w:pPr>
              <w:pStyle w:val="TableParagraph"/>
              <w:kinsoku w:val="0"/>
              <w:overflowPunct w:val="0"/>
              <w:spacing w:before="13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将思想政治教育与专业教育有机融合。</w:t>
            </w:r>
          </w:p>
        </w:tc>
        <w:tc>
          <w:tcPr>
            <w:tcW w:w="969" w:type="dxa"/>
            <w:vMerge/>
            <w:vAlign w:val="center"/>
          </w:tcPr>
          <w:p w14:paraId="6117D653" w14:textId="77777777" w:rsidR="00630AEA" w:rsidRDefault="00630AEA" w:rsidP="0038606E">
            <w:pPr>
              <w:pStyle w:val="TableParagraph"/>
              <w:kinsoku w:val="0"/>
              <w:overflowPunct w:val="0"/>
              <w:spacing w:before="13"/>
              <w:ind w:left="104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2003AE52" w14:textId="77777777" w:rsidTr="0038606E">
        <w:trPr>
          <w:trHeight w:val="824"/>
          <w:jc w:val="center"/>
        </w:trPr>
        <w:tc>
          <w:tcPr>
            <w:tcW w:w="1589" w:type="dxa"/>
            <w:vMerge/>
            <w:vAlign w:val="center"/>
          </w:tcPr>
          <w:p w14:paraId="34CA977A" w14:textId="77777777" w:rsidR="00630AEA" w:rsidRDefault="00630AEA" w:rsidP="0038606E">
            <w:pPr>
              <w:pStyle w:val="TableParagraph"/>
              <w:kinsoku w:val="0"/>
              <w:overflowPunct w:val="0"/>
              <w:spacing w:before="13"/>
              <w:ind w:left="104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vAlign w:val="center"/>
          </w:tcPr>
          <w:p w14:paraId="5B220327" w14:textId="77777777" w:rsidR="00630AEA" w:rsidRDefault="00630AEA" w:rsidP="0038606E">
            <w:pPr>
              <w:pStyle w:val="TableParagraph"/>
              <w:kinsoku w:val="0"/>
              <w:overflowPunct w:val="0"/>
              <w:spacing w:before="38" w:line="276" w:lineRule="auto"/>
              <w:ind w:right="118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将学科研究新进展、实践发展新经验、社会需求新变化纳入教学内容。</w:t>
            </w:r>
          </w:p>
        </w:tc>
        <w:tc>
          <w:tcPr>
            <w:tcW w:w="969" w:type="dxa"/>
            <w:vMerge/>
            <w:vAlign w:val="center"/>
          </w:tcPr>
          <w:p w14:paraId="42DFD538" w14:textId="77777777" w:rsidR="00630AEA" w:rsidRDefault="00630AEA" w:rsidP="0038606E">
            <w:pPr>
              <w:pStyle w:val="TableParagraph"/>
              <w:kinsoku w:val="0"/>
              <w:overflowPunct w:val="0"/>
              <w:spacing w:before="38" w:line="276" w:lineRule="auto"/>
              <w:ind w:left="104" w:right="11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589F1D9B" w14:textId="77777777" w:rsidTr="0038606E">
        <w:trPr>
          <w:trHeight w:val="850"/>
          <w:jc w:val="center"/>
        </w:trPr>
        <w:tc>
          <w:tcPr>
            <w:tcW w:w="1589" w:type="dxa"/>
            <w:vMerge w:val="restart"/>
            <w:vAlign w:val="center"/>
          </w:tcPr>
          <w:p w14:paraId="4843459F" w14:textId="77777777" w:rsidR="00630AEA" w:rsidRDefault="00630AEA" w:rsidP="0038606E">
            <w:pPr>
              <w:pStyle w:val="TableParagraph"/>
              <w:kinsoku w:val="0"/>
              <w:overflowPunct w:val="0"/>
              <w:spacing w:before="139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过程与方法</w:t>
            </w:r>
          </w:p>
        </w:tc>
        <w:tc>
          <w:tcPr>
            <w:tcW w:w="6252" w:type="dxa"/>
            <w:vAlign w:val="center"/>
          </w:tcPr>
          <w:p w14:paraId="57D2C9B0" w14:textId="77777777" w:rsidR="00630AEA" w:rsidRDefault="00630AEA" w:rsidP="0038606E">
            <w:pPr>
              <w:pStyle w:val="TableParagraph"/>
              <w:kinsoku w:val="0"/>
              <w:overflowPunct w:val="0"/>
              <w:spacing w:before="34" w:line="271" w:lineRule="auto"/>
              <w:ind w:right="113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教学活动丰富多样，能体现各等级水平的知识、技能和情感价值目标。</w:t>
            </w:r>
          </w:p>
        </w:tc>
        <w:tc>
          <w:tcPr>
            <w:tcW w:w="969" w:type="dxa"/>
            <w:vMerge w:val="restart"/>
            <w:vAlign w:val="center"/>
          </w:tcPr>
          <w:p w14:paraId="4C90587A" w14:textId="77777777" w:rsidR="00630AEA" w:rsidRDefault="00630AEA" w:rsidP="0038606E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30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630AEA" w14:paraId="6048BC04" w14:textId="77777777" w:rsidTr="0038606E">
        <w:trPr>
          <w:trHeight w:val="834"/>
          <w:jc w:val="center"/>
        </w:trPr>
        <w:tc>
          <w:tcPr>
            <w:tcW w:w="1589" w:type="dxa"/>
            <w:vMerge/>
            <w:vAlign w:val="center"/>
          </w:tcPr>
          <w:p w14:paraId="6B3FA29D" w14:textId="77777777" w:rsidR="00630AEA" w:rsidRDefault="00630AEA" w:rsidP="0038606E">
            <w:pPr>
              <w:pStyle w:val="TableParagraph"/>
              <w:kinsoku w:val="0"/>
              <w:overflowPunct w:val="0"/>
              <w:ind w:left="183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vAlign w:val="center"/>
          </w:tcPr>
          <w:p w14:paraId="034E630A" w14:textId="77777777" w:rsidR="00630AEA" w:rsidRDefault="00630AEA" w:rsidP="0038606E">
            <w:pPr>
              <w:pStyle w:val="TableParagraph"/>
              <w:kinsoku w:val="0"/>
              <w:overflowPunct w:val="0"/>
              <w:spacing w:before="20" w:line="264" w:lineRule="auto"/>
              <w:ind w:right="126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能根据课程特点，用创新的教学策略、方法、技术解决课堂中存在的各种问题和困难。</w:t>
            </w:r>
          </w:p>
        </w:tc>
        <w:tc>
          <w:tcPr>
            <w:tcW w:w="969" w:type="dxa"/>
            <w:vMerge/>
            <w:vAlign w:val="center"/>
          </w:tcPr>
          <w:p w14:paraId="713A2FCD" w14:textId="77777777" w:rsidR="00630AEA" w:rsidRDefault="00630AEA" w:rsidP="0038606E">
            <w:pPr>
              <w:pStyle w:val="TableParagraph"/>
              <w:kinsoku w:val="0"/>
              <w:overflowPunct w:val="0"/>
              <w:spacing w:before="20" w:line="264" w:lineRule="auto"/>
              <w:ind w:left="126" w:right="126" w:hanging="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1855DC46" w14:textId="77777777" w:rsidTr="0038606E">
        <w:trPr>
          <w:trHeight w:val="846"/>
          <w:jc w:val="center"/>
        </w:trPr>
        <w:tc>
          <w:tcPr>
            <w:tcW w:w="1589" w:type="dxa"/>
            <w:vMerge/>
            <w:vAlign w:val="center"/>
          </w:tcPr>
          <w:p w14:paraId="6161CFA0" w14:textId="77777777" w:rsidR="00630AEA" w:rsidRDefault="00630AEA" w:rsidP="0038606E">
            <w:pPr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vAlign w:val="center"/>
          </w:tcPr>
          <w:p w14:paraId="006715BB" w14:textId="77777777" w:rsidR="00630AEA" w:rsidRDefault="00630AEA" w:rsidP="0038606E">
            <w:pPr>
              <w:pStyle w:val="TableParagraph"/>
              <w:kinsoku w:val="0"/>
              <w:overflowPunct w:val="0"/>
              <w:spacing w:before="20" w:line="259" w:lineRule="auto"/>
              <w:ind w:right="91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强化师生和生生互动，教学活动应循序渐进，教师提供必要的支持和指导，帮助学生成为自主学习者。</w:t>
            </w:r>
          </w:p>
        </w:tc>
        <w:tc>
          <w:tcPr>
            <w:tcW w:w="969" w:type="dxa"/>
            <w:vMerge/>
            <w:vAlign w:val="center"/>
          </w:tcPr>
          <w:p w14:paraId="0DB949EE" w14:textId="77777777" w:rsidR="00630AEA" w:rsidRDefault="00630AEA" w:rsidP="0038606E">
            <w:pPr>
              <w:pStyle w:val="TableParagraph"/>
              <w:kinsoku w:val="0"/>
              <w:overflowPunct w:val="0"/>
              <w:spacing w:before="20" w:line="259" w:lineRule="auto"/>
              <w:ind w:left="126" w:right="91" w:hanging="15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6D400FA4" w14:textId="77777777" w:rsidTr="0038606E">
        <w:trPr>
          <w:trHeight w:val="508"/>
          <w:jc w:val="center"/>
        </w:trPr>
        <w:tc>
          <w:tcPr>
            <w:tcW w:w="1589" w:type="dxa"/>
            <w:vMerge w:val="restart"/>
            <w:vAlign w:val="center"/>
          </w:tcPr>
          <w:p w14:paraId="30F01CBD" w14:textId="77777777" w:rsidR="00630AEA" w:rsidRDefault="00630AEA" w:rsidP="0038606E">
            <w:pPr>
              <w:pStyle w:val="TableParagraph"/>
              <w:kinsoku w:val="0"/>
              <w:overflowPunct w:val="0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考评与反馈</w:t>
            </w:r>
          </w:p>
        </w:tc>
        <w:tc>
          <w:tcPr>
            <w:tcW w:w="6252" w:type="dxa"/>
            <w:vAlign w:val="center"/>
          </w:tcPr>
          <w:p w14:paraId="068B4A3F" w14:textId="77777777" w:rsidR="00630AEA" w:rsidRDefault="00630AEA" w:rsidP="0038606E">
            <w:pPr>
              <w:pStyle w:val="TableParagraph"/>
              <w:kinsoku w:val="0"/>
              <w:overflowPunct w:val="0"/>
              <w:spacing w:before="42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测试多种多样，能合理评价学生知识、技能的掌握情况。</w:t>
            </w:r>
          </w:p>
        </w:tc>
        <w:tc>
          <w:tcPr>
            <w:tcW w:w="969" w:type="dxa"/>
            <w:vMerge w:val="restart"/>
            <w:vAlign w:val="center"/>
          </w:tcPr>
          <w:p w14:paraId="28AC18CC" w14:textId="77777777" w:rsidR="00630AEA" w:rsidRDefault="00630AEA" w:rsidP="0038606E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20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630AEA" w14:paraId="4A0AD9FA" w14:textId="77777777" w:rsidTr="0038606E">
        <w:trPr>
          <w:trHeight w:val="880"/>
          <w:jc w:val="center"/>
        </w:trPr>
        <w:tc>
          <w:tcPr>
            <w:tcW w:w="1589" w:type="dxa"/>
            <w:vMerge/>
            <w:vAlign w:val="center"/>
          </w:tcPr>
          <w:p w14:paraId="4DA4F5FF" w14:textId="77777777" w:rsidR="00630AEA" w:rsidRDefault="00630AEA" w:rsidP="0038606E">
            <w:pPr>
              <w:pStyle w:val="TableParagraph"/>
              <w:kinsoku w:val="0"/>
              <w:overflowPunct w:val="0"/>
              <w:ind w:left="190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vAlign w:val="center"/>
          </w:tcPr>
          <w:p w14:paraId="4C7E155F" w14:textId="77777777" w:rsidR="00630AEA" w:rsidRDefault="00630AEA" w:rsidP="0038606E">
            <w:pPr>
              <w:pStyle w:val="TableParagraph"/>
              <w:kinsoku w:val="0"/>
              <w:overflowPunct w:val="0"/>
              <w:spacing w:before="13" w:line="264" w:lineRule="auto"/>
              <w:ind w:right="105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过程性评价与终结性评价相结合，以促成学生进步为出发点设计多元的评价方式，且给与及时反馈。</w:t>
            </w:r>
          </w:p>
        </w:tc>
        <w:tc>
          <w:tcPr>
            <w:tcW w:w="969" w:type="dxa"/>
            <w:vMerge/>
            <w:vAlign w:val="center"/>
          </w:tcPr>
          <w:p w14:paraId="1C06C045" w14:textId="77777777" w:rsidR="00630AEA" w:rsidRDefault="00630AEA" w:rsidP="0038606E">
            <w:pPr>
              <w:pStyle w:val="TableParagraph"/>
              <w:kinsoku w:val="0"/>
              <w:overflowPunct w:val="0"/>
              <w:spacing w:before="13" w:line="264" w:lineRule="auto"/>
              <w:ind w:left="118" w:right="105" w:hanging="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5EEEE531" w14:textId="77777777" w:rsidTr="0038606E">
        <w:trPr>
          <w:trHeight w:val="850"/>
          <w:jc w:val="center"/>
        </w:trPr>
        <w:tc>
          <w:tcPr>
            <w:tcW w:w="1589" w:type="dxa"/>
            <w:vMerge/>
            <w:vAlign w:val="center"/>
          </w:tcPr>
          <w:p w14:paraId="1D592D87" w14:textId="77777777" w:rsidR="00630AEA" w:rsidRDefault="00630AEA" w:rsidP="0038606E">
            <w:pPr>
              <w:pStyle w:val="TableParagraph"/>
              <w:kinsoku w:val="0"/>
              <w:overflowPunct w:val="0"/>
              <w:spacing w:before="13" w:line="264" w:lineRule="auto"/>
              <w:ind w:left="118" w:right="105" w:hanging="8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vAlign w:val="center"/>
          </w:tcPr>
          <w:p w14:paraId="0134687E" w14:textId="77777777" w:rsidR="00630AEA" w:rsidRDefault="00630AEA" w:rsidP="0038606E">
            <w:pPr>
              <w:pStyle w:val="TableParagraph"/>
              <w:kinsoku w:val="0"/>
              <w:overflowPunct w:val="0"/>
              <w:spacing w:line="271" w:lineRule="auto"/>
              <w:ind w:right="134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提供清晰合理的评价规则和标准，积极创造学生自我评价和同伴互评的机会。</w:t>
            </w:r>
          </w:p>
        </w:tc>
        <w:tc>
          <w:tcPr>
            <w:tcW w:w="969" w:type="dxa"/>
            <w:vMerge/>
            <w:vAlign w:val="center"/>
          </w:tcPr>
          <w:p w14:paraId="52995216" w14:textId="77777777" w:rsidR="00630AEA" w:rsidRDefault="00630AEA" w:rsidP="0038606E">
            <w:pPr>
              <w:pStyle w:val="TableParagraph"/>
              <w:kinsoku w:val="0"/>
              <w:overflowPunct w:val="0"/>
              <w:spacing w:line="271" w:lineRule="auto"/>
              <w:ind w:left="133" w:right="134" w:hanging="22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6C694737" w14:textId="77777777" w:rsidTr="0038606E">
        <w:trPr>
          <w:trHeight w:val="574"/>
          <w:jc w:val="center"/>
        </w:trPr>
        <w:tc>
          <w:tcPr>
            <w:tcW w:w="1589" w:type="dxa"/>
            <w:vAlign w:val="center"/>
          </w:tcPr>
          <w:p w14:paraId="0DDB6DE2" w14:textId="77777777" w:rsidR="00630AEA" w:rsidRDefault="00630AEA" w:rsidP="0038606E">
            <w:pPr>
              <w:pStyle w:val="TableParagraph"/>
              <w:kinsoku w:val="0"/>
              <w:overflowPunct w:val="0"/>
              <w:spacing w:before="90"/>
              <w:ind w:left="14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总分</w:t>
            </w:r>
          </w:p>
        </w:tc>
        <w:tc>
          <w:tcPr>
            <w:tcW w:w="6252" w:type="dxa"/>
            <w:vAlign w:val="center"/>
          </w:tcPr>
          <w:p w14:paraId="36132BDA" w14:textId="77777777" w:rsidR="00630AEA" w:rsidRDefault="00630AEA" w:rsidP="0038606E">
            <w:pPr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969" w:type="dxa"/>
            <w:vAlign w:val="center"/>
          </w:tcPr>
          <w:p w14:paraId="18861F3E" w14:textId="77777777" w:rsidR="00630AEA" w:rsidRDefault="00630AEA" w:rsidP="0038606E">
            <w:pPr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100分</w:t>
            </w:r>
          </w:p>
        </w:tc>
      </w:tr>
    </w:tbl>
    <w:p w14:paraId="1DDE03F1" w14:textId="77777777" w:rsidR="00630AEA" w:rsidRDefault="00630AEA" w:rsidP="00630AEA">
      <w:pPr>
        <w:widowControl/>
        <w:spacing w:line="400" w:lineRule="atLeast"/>
        <w:rPr>
          <w:rFonts w:ascii="仿宋_GB2312" w:eastAsia="仿宋_GB2312"/>
          <w:kern w:val="0"/>
          <w:sz w:val="28"/>
          <w:szCs w:val="28"/>
          <w:u w:val="single"/>
        </w:rPr>
      </w:pPr>
    </w:p>
    <w:p w14:paraId="6949EADF" w14:textId="77777777" w:rsidR="00630AEA" w:rsidRPr="003A78FF" w:rsidRDefault="00630AEA" w:rsidP="00630AEA">
      <w:pPr>
        <w:snapToGrid w:val="0"/>
        <w:spacing w:beforeLines="100" w:before="312" w:afterLines="100" w:after="312" w:line="460" w:lineRule="exac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宋体" w:hAnsi="宋体"/>
          <w:sz w:val="28"/>
          <w:szCs w:val="28"/>
        </w:rPr>
        <w:br w:type="page"/>
      </w:r>
      <w:r w:rsidRPr="003A78FF">
        <w:rPr>
          <w:rFonts w:ascii="楷体" w:eastAsia="楷体" w:hAnsi="楷体" w:cs="宋体" w:hint="eastAsia"/>
          <w:b/>
          <w:kern w:val="0"/>
          <w:sz w:val="32"/>
          <w:szCs w:val="32"/>
        </w:rPr>
        <w:lastRenderedPageBreak/>
        <w:t>（二）课堂教学展示评分表</w:t>
      </w: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6015"/>
        <w:gridCol w:w="1363"/>
      </w:tblGrid>
      <w:tr w:rsidR="00630AEA" w:rsidRPr="009C69CF" w14:paraId="7A45856E" w14:textId="77777777" w:rsidTr="0038606E">
        <w:trPr>
          <w:trHeight w:hRule="exact" w:val="494"/>
          <w:jc w:val="center"/>
        </w:trPr>
        <w:tc>
          <w:tcPr>
            <w:tcW w:w="1210" w:type="dxa"/>
            <w:vAlign w:val="center"/>
          </w:tcPr>
          <w:p w14:paraId="53C4614D" w14:textId="77777777" w:rsidR="00630AEA" w:rsidRPr="009C69CF" w:rsidRDefault="00630AEA" w:rsidP="0038606E">
            <w:pPr>
              <w:pStyle w:val="TableParagraph"/>
              <w:kinsoku w:val="0"/>
              <w:overflowPunct w:val="0"/>
              <w:spacing w:before="34"/>
              <w:ind w:left="129"/>
              <w:rPr>
                <w:rFonts w:ascii="黑体" w:eastAsia="黑体" w:hAnsi="黑体" w:cs="Arial"/>
                <w:sz w:val="22"/>
                <w:lang w:val="en-GB"/>
              </w:rPr>
            </w:pPr>
            <w:r w:rsidRPr="009C69CF">
              <w:rPr>
                <w:rFonts w:ascii="黑体" w:eastAsia="黑体" w:hAnsi="黑体" w:cs="Arial" w:hint="eastAsia"/>
                <w:sz w:val="22"/>
                <w:lang w:val="en-GB"/>
              </w:rPr>
              <w:t>评价维度</w:t>
            </w:r>
          </w:p>
        </w:tc>
        <w:tc>
          <w:tcPr>
            <w:tcW w:w="6015" w:type="dxa"/>
            <w:vAlign w:val="center"/>
          </w:tcPr>
          <w:p w14:paraId="2FD59D37" w14:textId="77777777" w:rsidR="00630AEA" w:rsidRPr="009C69CF" w:rsidRDefault="00630AEA" w:rsidP="0038606E">
            <w:pPr>
              <w:pStyle w:val="TableParagraph"/>
              <w:kinsoku w:val="0"/>
              <w:overflowPunct w:val="0"/>
              <w:spacing w:before="20"/>
              <w:ind w:right="51"/>
              <w:jc w:val="center"/>
              <w:rPr>
                <w:rFonts w:ascii="黑体" w:eastAsia="黑体" w:hAnsi="黑体" w:cs="Arial"/>
                <w:sz w:val="22"/>
                <w:lang w:val="en-GB"/>
              </w:rPr>
            </w:pPr>
            <w:r w:rsidRPr="009C69CF">
              <w:rPr>
                <w:rFonts w:ascii="黑体" w:eastAsia="黑体" w:hAnsi="黑体" w:cs="Arial" w:hint="eastAsia"/>
                <w:sz w:val="22"/>
                <w:lang w:val="en-GB"/>
              </w:rPr>
              <w:t>评价要点</w:t>
            </w:r>
          </w:p>
        </w:tc>
        <w:tc>
          <w:tcPr>
            <w:tcW w:w="1363" w:type="dxa"/>
            <w:vAlign w:val="center"/>
          </w:tcPr>
          <w:p w14:paraId="30FD2371" w14:textId="77777777" w:rsidR="00630AEA" w:rsidRPr="009C69CF" w:rsidRDefault="00630AEA" w:rsidP="0038606E">
            <w:pPr>
              <w:pStyle w:val="TableParagraph"/>
              <w:kinsoku w:val="0"/>
              <w:overflowPunct w:val="0"/>
              <w:spacing w:before="6"/>
              <w:ind w:left="329"/>
              <w:rPr>
                <w:rFonts w:ascii="黑体" w:eastAsia="黑体" w:hAnsi="黑体" w:cs="Arial"/>
                <w:sz w:val="22"/>
                <w:lang w:val="en-GB"/>
              </w:rPr>
            </w:pPr>
            <w:r w:rsidRPr="009C69CF">
              <w:rPr>
                <w:rFonts w:ascii="黑体" w:eastAsia="黑体" w:hAnsi="黑体" w:cs="Arial" w:hint="eastAsia"/>
                <w:sz w:val="22"/>
                <w:lang w:val="en-GB"/>
              </w:rPr>
              <w:t>分值</w:t>
            </w:r>
          </w:p>
        </w:tc>
      </w:tr>
      <w:tr w:rsidR="00630AEA" w14:paraId="2284B525" w14:textId="77777777" w:rsidTr="0038606E">
        <w:trPr>
          <w:trHeight w:hRule="exact" w:val="794"/>
          <w:jc w:val="center"/>
        </w:trPr>
        <w:tc>
          <w:tcPr>
            <w:tcW w:w="1210" w:type="dxa"/>
            <w:vAlign w:val="center"/>
          </w:tcPr>
          <w:p w14:paraId="581CD5EE" w14:textId="77777777" w:rsidR="00630AEA" w:rsidRDefault="00630AEA" w:rsidP="0038606E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教学理念</w:t>
            </w:r>
          </w:p>
        </w:tc>
        <w:tc>
          <w:tcPr>
            <w:tcW w:w="6015" w:type="dxa"/>
            <w:vAlign w:val="center"/>
          </w:tcPr>
          <w:p w14:paraId="6547E6CC" w14:textId="77777777" w:rsidR="00630AEA" w:rsidRDefault="00630AEA" w:rsidP="0038606E">
            <w:pPr>
              <w:pStyle w:val="TableParagraph"/>
              <w:kinsoku w:val="0"/>
              <w:overflowPunct w:val="0"/>
              <w:spacing w:before="49"/>
              <w:ind w:left="82" w:firstLine="7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教学理念符合学科专业与课程要求，体现立德树人思想和“学生中心、产出导向、持续改进”的教育教学理念；</w:t>
            </w:r>
          </w:p>
        </w:tc>
        <w:tc>
          <w:tcPr>
            <w:tcW w:w="1363" w:type="dxa"/>
            <w:vAlign w:val="center"/>
          </w:tcPr>
          <w:p w14:paraId="126E0A10" w14:textId="77777777" w:rsidR="00630AEA" w:rsidRDefault="00630AEA" w:rsidP="0038606E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 xml:space="preserve">10 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630AEA" w14:paraId="14C6FFDB" w14:textId="77777777" w:rsidTr="0038606E">
        <w:trPr>
          <w:trHeight w:hRule="exact" w:val="1177"/>
          <w:jc w:val="center"/>
        </w:trPr>
        <w:tc>
          <w:tcPr>
            <w:tcW w:w="1210" w:type="dxa"/>
            <w:vMerge w:val="restart"/>
            <w:vAlign w:val="center"/>
          </w:tcPr>
          <w:p w14:paraId="58262229" w14:textId="77777777" w:rsidR="00630AEA" w:rsidRDefault="00630AEA" w:rsidP="0038606E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教学内容</w:t>
            </w:r>
          </w:p>
        </w:tc>
        <w:tc>
          <w:tcPr>
            <w:tcW w:w="6015" w:type="dxa"/>
            <w:vAlign w:val="center"/>
          </w:tcPr>
          <w:p w14:paraId="49F950F1" w14:textId="77777777" w:rsidR="00630AEA" w:rsidRDefault="00630AEA" w:rsidP="0038606E">
            <w:pPr>
              <w:pStyle w:val="TableParagraph"/>
              <w:kinsoku w:val="0"/>
              <w:overflowPunct w:val="0"/>
              <w:spacing w:before="47"/>
              <w:ind w:left="91" w:right="-11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具备高阶性、创新性、挑战度的“金课”特征。教学内容有深度、广度，反映学科前沿，渗透专业思想，使用质量高的教学资源。</w:t>
            </w:r>
          </w:p>
        </w:tc>
        <w:tc>
          <w:tcPr>
            <w:tcW w:w="1363" w:type="dxa"/>
            <w:vMerge w:val="restart"/>
            <w:vAlign w:val="center"/>
          </w:tcPr>
          <w:p w14:paraId="7CA3036A" w14:textId="77777777" w:rsidR="00630AEA" w:rsidRDefault="00630AEA" w:rsidP="0038606E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 xml:space="preserve">25 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630AEA" w14:paraId="69CFB2BE" w14:textId="77777777" w:rsidTr="0038606E">
        <w:trPr>
          <w:trHeight w:hRule="exact" w:val="472"/>
          <w:jc w:val="center"/>
        </w:trPr>
        <w:tc>
          <w:tcPr>
            <w:tcW w:w="1210" w:type="dxa"/>
            <w:vMerge/>
            <w:vAlign w:val="center"/>
          </w:tcPr>
          <w:p w14:paraId="31524243" w14:textId="77777777" w:rsidR="00630AEA" w:rsidRDefault="00630AEA" w:rsidP="0038606E">
            <w:pPr>
              <w:pStyle w:val="TableParagraph"/>
              <w:kinsoku w:val="0"/>
              <w:overflowPunct w:val="0"/>
              <w:ind w:left="315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3BC4C5AE" w14:textId="77777777" w:rsidR="00630AEA" w:rsidRDefault="00630AEA" w:rsidP="0038606E">
            <w:pPr>
              <w:pStyle w:val="TableParagraph"/>
              <w:kinsoku w:val="0"/>
              <w:overflowPunct w:val="0"/>
              <w:spacing w:before="128"/>
              <w:ind w:left="89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重点难点突出、逻辑合理、结构清晰。</w:t>
            </w:r>
          </w:p>
        </w:tc>
        <w:tc>
          <w:tcPr>
            <w:tcW w:w="1363" w:type="dxa"/>
            <w:vMerge/>
            <w:vAlign w:val="center"/>
          </w:tcPr>
          <w:p w14:paraId="06E066AD" w14:textId="77777777" w:rsidR="00630AEA" w:rsidRDefault="00630AEA" w:rsidP="0038606E">
            <w:pPr>
              <w:pStyle w:val="TableParagraph"/>
              <w:kinsoku w:val="0"/>
              <w:overflowPunct w:val="0"/>
              <w:spacing w:before="128"/>
              <w:ind w:left="89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54F6A83B" w14:textId="77777777" w:rsidTr="0038606E">
        <w:trPr>
          <w:trHeight w:hRule="exact" w:val="799"/>
          <w:jc w:val="center"/>
        </w:trPr>
        <w:tc>
          <w:tcPr>
            <w:tcW w:w="1210" w:type="dxa"/>
            <w:vMerge/>
            <w:vAlign w:val="center"/>
          </w:tcPr>
          <w:p w14:paraId="60091031" w14:textId="77777777" w:rsidR="00630AEA" w:rsidRDefault="00630AEA" w:rsidP="0038606E">
            <w:pPr>
              <w:pStyle w:val="TableParagraph"/>
              <w:kinsoku w:val="0"/>
              <w:overflowPunct w:val="0"/>
              <w:spacing w:before="128"/>
              <w:ind w:left="89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56BF1A97" w14:textId="77777777" w:rsidR="00630AEA" w:rsidRDefault="00630AEA" w:rsidP="0038606E">
            <w:pPr>
              <w:pStyle w:val="TableParagraph"/>
              <w:kinsoku w:val="0"/>
              <w:overflowPunct w:val="0"/>
              <w:spacing w:before="52"/>
              <w:ind w:left="89" w:right="-1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课程</w:t>
            </w:r>
            <w:proofErr w:type="gramStart"/>
            <w:r>
              <w:rPr>
                <w:rFonts w:ascii="仿宋" w:eastAsia="仿宋" w:hAnsi="仿宋" w:cs="Arial" w:hint="eastAsia"/>
                <w:sz w:val="22"/>
                <w:lang w:val="en-GB"/>
              </w:rPr>
              <w:t>思政目标</w:t>
            </w:r>
            <w:proofErr w:type="gramEnd"/>
            <w:r>
              <w:rPr>
                <w:rFonts w:ascii="仿宋" w:eastAsia="仿宋" w:hAnsi="仿宋" w:cs="Arial" w:hint="eastAsia"/>
                <w:sz w:val="22"/>
                <w:lang w:val="en-GB"/>
              </w:rPr>
              <w:t>得到实现，促进学生家国情怀、科学与人文精神的培养。</w:t>
            </w:r>
          </w:p>
        </w:tc>
        <w:tc>
          <w:tcPr>
            <w:tcW w:w="1363" w:type="dxa"/>
            <w:vMerge/>
            <w:vAlign w:val="center"/>
          </w:tcPr>
          <w:p w14:paraId="7C6BF72E" w14:textId="77777777" w:rsidR="00630AEA" w:rsidRDefault="00630AEA" w:rsidP="0038606E">
            <w:pPr>
              <w:pStyle w:val="TableParagraph"/>
              <w:kinsoku w:val="0"/>
              <w:overflowPunct w:val="0"/>
              <w:spacing w:before="108"/>
              <w:ind w:left="89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009A051B" w14:textId="77777777" w:rsidTr="0038606E">
        <w:trPr>
          <w:trHeight w:hRule="exact" w:val="446"/>
          <w:jc w:val="center"/>
        </w:trPr>
        <w:tc>
          <w:tcPr>
            <w:tcW w:w="1210" w:type="dxa"/>
            <w:vMerge w:val="restart"/>
            <w:vAlign w:val="center"/>
          </w:tcPr>
          <w:p w14:paraId="15A0B77A" w14:textId="77777777" w:rsidR="00630AEA" w:rsidRDefault="00630AEA" w:rsidP="0038606E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教学组织</w:t>
            </w:r>
          </w:p>
        </w:tc>
        <w:tc>
          <w:tcPr>
            <w:tcW w:w="6015" w:type="dxa"/>
            <w:vAlign w:val="center"/>
          </w:tcPr>
          <w:p w14:paraId="51AB8734" w14:textId="77777777" w:rsidR="00630AEA" w:rsidRDefault="00630AEA" w:rsidP="0038606E">
            <w:pPr>
              <w:pStyle w:val="TableParagraph"/>
              <w:kinsoku w:val="0"/>
              <w:overflowPunct w:val="0"/>
              <w:spacing w:before="38"/>
              <w:ind w:left="97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注重以学生为中心创新教学，体现教师主导、学生主体。</w:t>
            </w:r>
          </w:p>
        </w:tc>
        <w:tc>
          <w:tcPr>
            <w:tcW w:w="1363" w:type="dxa"/>
            <w:vMerge w:val="restart"/>
            <w:vAlign w:val="center"/>
          </w:tcPr>
          <w:p w14:paraId="3C6EC576" w14:textId="77777777" w:rsidR="00630AEA" w:rsidRDefault="00630AEA" w:rsidP="0038606E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 xml:space="preserve">40 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630AEA" w14:paraId="0A8D002F" w14:textId="77777777" w:rsidTr="0038606E">
        <w:trPr>
          <w:trHeight w:hRule="exact" w:val="792"/>
          <w:jc w:val="center"/>
        </w:trPr>
        <w:tc>
          <w:tcPr>
            <w:tcW w:w="1210" w:type="dxa"/>
            <w:vMerge/>
            <w:vAlign w:val="center"/>
          </w:tcPr>
          <w:p w14:paraId="2FC289FE" w14:textId="77777777" w:rsidR="00630AEA" w:rsidRDefault="00630AEA" w:rsidP="0038606E">
            <w:pPr>
              <w:pStyle w:val="TableParagraph"/>
              <w:kinsoku w:val="0"/>
              <w:overflowPunct w:val="0"/>
              <w:ind w:left="329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55349D0E" w14:textId="77777777" w:rsidR="00630AEA" w:rsidRDefault="00630AEA" w:rsidP="0038606E">
            <w:pPr>
              <w:pStyle w:val="TableParagraph"/>
              <w:kinsoku w:val="0"/>
              <w:overflowPunct w:val="0"/>
              <w:spacing w:before="45"/>
              <w:ind w:left="97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教学目标科学、明确，重视学生发展需要，所有课堂活动与教学目标具有一致性。</w:t>
            </w:r>
          </w:p>
        </w:tc>
        <w:tc>
          <w:tcPr>
            <w:tcW w:w="1363" w:type="dxa"/>
            <w:vMerge/>
            <w:vAlign w:val="center"/>
          </w:tcPr>
          <w:p w14:paraId="5E7A07E0" w14:textId="77777777" w:rsidR="00630AEA" w:rsidRDefault="00630AEA" w:rsidP="0038606E">
            <w:pPr>
              <w:pStyle w:val="TableParagraph"/>
              <w:kinsoku w:val="0"/>
              <w:overflowPunct w:val="0"/>
              <w:spacing w:before="115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706956AD" w14:textId="77777777" w:rsidTr="0038606E">
        <w:trPr>
          <w:trHeight w:hRule="exact" w:val="944"/>
          <w:jc w:val="center"/>
        </w:trPr>
        <w:tc>
          <w:tcPr>
            <w:tcW w:w="1210" w:type="dxa"/>
            <w:vMerge/>
            <w:vAlign w:val="center"/>
          </w:tcPr>
          <w:p w14:paraId="5E4CBC73" w14:textId="77777777" w:rsidR="00630AEA" w:rsidRDefault="00630AEA" w:rsidP="0038606E">
            <w:pPr>
              <w:pStyle w:val="TableParagraph"/>
              <w:kinsoku w:val="0"/>
              <w:overflowPunct w:val="0"/>
              <w:spacing w:before="115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40E67C84" w14:textId="77777777" w:rsidR="00630AEA" w:rsidRDefault="00630AEA" w:rsidP="0038606E">
            <w:pPr>
              <w:pStyle w:val="TableParagraph"/>
              <w:kinsoku w:val="0"/>
              <w:overflowPunct w:val="0"/>
              <w:spacing w:before="45"/>
              <w:ind w:left="104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教学组织有序，教学过程安排合理。创新教学方法与策略，调动学生积极性，师生互动充分。</w:t>
            </w:r>
          </w:p>
        </w:tc>
        <w:tc>
          <w:tcPr>
            <w:tcW w:w="1363" w:type="dxa"/>
            <w:vMerge/>
            <w:vAlign w:val="center"/>
          </w:tcPr>
          <w:p w14:paraId="6543ADA4" w14:textId="77777777" w:rsidR="00630AEA" w:rsidRDefault="00630AEA" w:rsidP="0038606E">
            <w:pPr>
              <w:pStyle w:val="TableParagraph"/>
              <w:kinsoku w:val="0"/>
              <w:overflowPunct w:val="0"/>
              <w:spacing w:before="108"/>
              <w:ind w:left="104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5918D22A" w14:textId="77777777" w:rsidTr="0038606E">
        <w:trPr>
          <w:trHeight w:hRule="exact" w:val="520"/>
          <w:jc w:val="center"/>
        </w:trPr>
        <w:tc>
          <w:tcPr>
            <w:tcW w:w="1210" w:type="dxa"/>
            <w:vMerge/>
            <w:vAlign w:val="center"/>
          </w:tcPr>
          <w:p w14:paraId="142F0C7B" w14:textId="77777777" w:rsidR="00630AEA" w:rsidRDefault="00630AEA" w:rsidP="0038606E">
            <w:pPr>
              <w:pStyle w:val="TableParagraph"/>
              <w:kinsoku w:val="0"/>
              <w:overflowPunct w:val="0"/>
              <w:spacing w:before="108"/>
              <w:ind w:left="104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6BFE983B" w14:textId="77777777" w:rsidR="00630AEA" w:rsidRDefault="00630AEA" w:rsidP="0038606E">
            <w:pPr>
              <w:pStyle w:val="TableParagraph"/>
              <w:kinsoku w:val="0"/>
              <w:overflowPunct w:val="0"/>
              <w:spacing w:before="45"/>
              <w:ind w:left="97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合理有效运用现代信息技术，支撑教学创新。</w:t>
            </w:r>
          </w:p>
        </w:tc>
        <w:tc>
          <w:tcPr>
            <w:tcW w:w="1363" w:type="dxa"/>
            <w:vMerge/>
            <w:vAlign w:val="center"/>
          </w:tcPr>
          <w:p w14:paraId="21230F90" w14:textId="77777777" w:rsidR="00630AEA" w:rsidRDefault="00630AEA" w:rsidP="0038606E">
            <w:pPr>
              <w:pStyle w:val="TableParagraph"/>
              <w:kinsoku w:val="0"/>
              <w:overflowPunct w:val="0"/>
              <w:spacing w:before="45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12F28EBE" w14:textId="77777777" w:rsidTr="0038606E">
        <w:trPr>
          <w:trHeight w:hRule="exact" w:val="793"/>
          <w:jc w:val="center"/>
        </w:trPr>
        <w:tc>
          <w:tcPr>
            <w:tcW w:w="1210" w:type="dxa"/>
            <w:vMerge/>
            <w:vAlign w:val="center"/>
          </w:tcPr>
          <w:p w14:paraId="284380B5" w14:textId="77777777" w:rsidR="00630AEA" w:rsidRDefault="00630AEA" w:rsidP="0038606E">
            <w:pPr>
              <w:pStyle w:val="TableParagraph"/>
              <w:kinsoku w:val="0"/>
              <w:overflowPunct w:val="0"/>
              <w:spacing w:before="45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40AD655D" w14:textId="77777777" w:rsidR="00630AEA" w:rsidRDefault="00630AEA" w:rsidP="0038606E">
            <w:pPr>
              <w:pStyle w:val="TableParagraph"/>
              <w:kinsoku w:val="0"/>
              <w:overflowPunct w:val="0"/>
              <w:spacing w:before="45"/>
              <w:ind w:left="104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板书设计</w:t>
            </w:r>
            <w:r>
              <w:rPr>
                <w:rFonts w:ascii="仿宋" w:eastAsia="仿宋" w:hAnsi="仿宋" w:cs="Arial"/>
                <w:sz w:val="22"/>
                <w:lang w:val="en-GB"/>
              </w:rPr>
              <w:t>与教学内容紧密联系、结构合理、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板书</w:t>
            </w:r>
            <w:r>
              <w:rPr>
                <w:rFonts w:ascii="仿宋" w:eastAsia="仿宋" w:hAnsi="仿宋" w:cs="Arial"/>
                <w:sz w:val="22"/>
                <w:lang w:val="en-GB"/>
              </w:rPr>
              <w:t>与多媒体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相配合，</w:t>
            </w:r>
            <w:r>
              <w:rPr>
                <w:rFonts w:ascii="仿宋" w:eastAsia="仿宋" w:hAnsi="仿宋" w:cs="Arial"/>
                <w:sz w:val="22"/>
                <w:lang w:val="en-GB"/>
              </w:rPr>
              <w:t>简洁、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工整</w:t>
            </w:r>
            <w:r>
              <w:rPr>
                <w:rFonts w:ascii="仿宋" w:eastAsia="仿宋" w:hAnsi="仿宋" w:cs="Arial"/>
                <w:sz w:val="22"/>
                <w:lang w:val="en-GB"/>
              </w:rPr>
              <w:t>、美观、大小适当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。</w:t>
            </w:r>
          </w:p>
        </w:tc>
        <w:tc>
          <w:tcPr>
            <w:tcW w:w="1363" w:type="dxa"/>
            <w:vMerge/>
            <w:vAlign w:val="center"/>
          </w:tcPr>
          <w:p w14:paraId="571670CF" w14:textId="77777777" w:rsidR="00630AEA" w:rsidRDefault="00630AEA" w:rsidP="0038606E">
            <w:pPr>
              <w:pStyle w:val="TableParagraph"/>
              <w:kinsoku w:val="0"/>
              <w:overflowPunct w:val="0"/>
              <w:spacing w:before="52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6BA79E54" w14:textId="77777777" w:rsidTr="0038606E">
        <w:trPr>
          <w:trHeight w:hRule="exact" w:val="1173"/>
          <w:jc w:val="center"/>
        </w:trPr>
        <w:tc>
          <w:tcPr>
            <w:tcW w:w="1210" w:type="dxa"/>
            <w:vMerge/>
            <w:vAlign w:val="center"/>
          </w:tcPr>
          <w:p w14:paraId="7E5AC4D2" w14:textId="77777777" w:rsidR="00630AEA" w:rsidRDefault="00630AEA" w:rsidP="0038606E">
            <w:pPr>
              <w:pStyle w:val="TableParagraph"/>
              <w:kinsoku w:val="0"/>
              <w:overflowPunct w:val="0"/>
              <w:spacing w:before="45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7B3D9629" w14:textId="77777777" w:rsidR="00630AEA" w:rsidRDefault="00630AEA" w:rsidP="0038606E">
            <w:pPr>
              <w:pStyle w:val="TableParagraph"/>
              <w:kinsoku w:val="0"/>
              <w:overflowPunct w:val="0"/>
              <w:spacing w:before="45"/>
              <w:ind w:left="104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普通话</w:t>
            </w:r>
            <w:r>
              <w:rPr>
                <w:rFonts w:ascii="仿宋" w:eastAsia="仿宋" w:hAnsi="仿宋" w:cs="Arial"/>
                <w:sz w:val="22"/>
                <w:lang w:val="en-GB"/>
              </w:rPr>
              <w:t>讲课，语言清晰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、流畅</w:t>
            </w:r>
            <w:r>
              <w:rPr>
                <w:rFonts w:ascii="仿宋" w:eastAsia="仿宋" w:hAnsi="仿宋" w:cs="Arial"/>
                <w:sz w:val="22"/>
                <w:lang w:val="en-GB"/>
              </w:rPr>
              <w:t>、准确、生动、语速节奏恰当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，肢体语言</w:t>
            </w:r>
            <w:r>
              <w:rPr>
                <w:rFonts w:ascii="仿宋" w:eastAsia="仿宋" w:hAnsi="仿宋" w:cs="Arial"/>
                <w:sz w:val="22"/>
                <w:lang w:val="en-GB"/>
              </w:rPr>
              <w:t>运用合理、恰当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，</w:t>
            </w:r>
            <w:proofErr w:type="gramStart"/>
            <w:r>
              <w:rPr>
                <w:rFonts w:ascii="仿宋" w:eastAsia="仿宋" w:hAnsi="仿宋" w:cs="Arial" w:hint="eastAsia"/>
                <w:sz w:val="22"/>
                <w:lang w:val="en-GB"/>
              </w:rPr>
              <w:t>教态</w:t>
            </w:r>
            <w:r>
              <w:rPr>
                <w:rFonts w:ascii="仿宋" w:eastAsia="仿宋" w:hAnsi="仿宋" w:cs="Arial"/>
                <w:sz w:val="22"/>
                <w:lang w:val="en-GB"/>
              </w:rPr>
              <w:t>仪表</w:t>
            </w:r>
            <w:proofErr w:type="gramEnd"/>
            <w:r>
              <w:rPr>
                <w:rFonts w:ascii="仿宋" w:eastAsia="仿宋" w:hAnsi="仿宋" w:cs="Arial"/>
                <w:sz w:val="22"/>
                <w:lang w:val="en-GB"/>
              </w:rPr>
              <w:t>自然得体，精神饱满，亲和力强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。</w:t>
            </w:r>
          </w:p>
        </w:tc>
        <w:tc>
          <w:tcPr>
            <w:tcW w:w="1363" w:type="dxa"/>
            <w:vMerge/>
            <w:vAlign w:val="center"/>
          </w:tcPr>
          <w:p w14:paraId="04B69610" w14:textId="77777777" w:rsidR="00630AEA" w:rsidRDefault="00630AEA" w:rsidP="0038606E">
            <w:pPr>
              <w:pStyle w:val="TableParagraph"/>
              <w:kinsoku w:val="0"/>
              <w:overflowPunct w:val="0"/>
              <w:spacing w:before="52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5F54ACCC" w14:textId="77777777" w:rsidTr="0038606E">
        <w:trPr>
          <w:trHeight w:hRule="exact" w:val="796"/>
          <w:jc w:val="center"/>
        </w:trPr>
        <w:tc>
          <w:tcPr>
            <w:tcW w:w="1210" w:type="dxa"/>
            <w:vMerge w:val="restart"/>
            <w:vAlign w:val="center"/>
          </w:tcPr>
          <w:p w14:paraId="1871F767" w14:textId="77777777" w:rsidR="00630AEA" w:rsidRDefault="00630AEA" w:rsidP="0038606E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教学效果</w:t>
            </w:r>
          </w:p>
        </w:tc>
        <w:tc>
          <w:tcPr>
            <w:tcW w:w="6015" w:type="dxa"/>
            <w:vAlign w:val="center"/>
          </w:tcPr>
          <w:p w14:paraId="672CD9B2" w14:textId="77777777" w:rsidR="00630AEA" w:rsidRDefault="00630AEA" w:rsidP="0038606E">
            <w:pPr>
              <w:pStyle w:val="TableParagraph"/>
              <w:kinsoku w:val="0"/>
              <w:overflowPunct w:val="0"/>
              <w:spacing w:before="45"/>
              <w:ind w:left="104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课堂讲授富有吸引力，课堂气氛融洽，学生思维活跃，深度参与课堂。</w:t>
            </w:r>
          </w:p>
        </w:tc>
        <w:tc>
          <w:tcPr>
            <w:tcW w:w="1363" w:type="dxa"/>
            <w:vMerge w:val="restart"/>
            <w:vAlign w:val="center"/>
          </w:tcPr>
          <w:p w14:paraId="3EA8731B" w14:textId="77777777" w:rsidR="00630AEA" w:rsidRDefault="00630AEA" w:rsidP="0038606E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15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630AEA" w14:paraId="0AEDBAF6" w14:textId="77777777" w:rsidTr="0038606E">
        <w:trPr>
          <w:trHeight w:hRule="exact" w:val="796"/>
          <w:jc w:val="center"/>
        </w:trPr>
        <w:tc>
          <w:tcPr>
            <w:tcW w:w="1210" w:type="dxa"/>
            <w:vMerge/>
            <w:vAlign w:val="center"/>
          </w:tcPr>
          <w:p w14:paraId="4E75EDB8" w14:textId="77777777" w:rsidR="00630AEA" w:rsidRDefault="00630AEA" w:rsidP="0038606E">
            <w:pPr>
              <w:pStyle w:val="TableParagraph"/>
              <w:kinsoku w:val="0"/>
              <w:overflowPunct w:val="0"/>
              <w:ind w:left="343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1D2D7CFE" w14:textId="77777777" w:rsidR="00630AEA" w:rsidRDefault="00630AEA" w:rsidP="0038606E">
            <w:pPr>
              <w:pStyle w:val="TableParagraph"/>
              <w:kinsoku w:val="0"/>
              <w:overflowPunct w:val="0"/>
              <w:spacing w:before="49"/>
              <w:ind w:left="118" w:hanging="15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学生知识、能力与素质得到了全面发展，有效激发学生的学习兴趣，培养了学生的自主学习能力。</w:t>
            </w:r>
          </w:p>
        </w:tc>
        <w:tc>
          <w:tcPr>
            <w:tcW w:w="1363" w:type="dxa"/>
            <w:vMerge/>
            <w:vAlign w:val="center"/>
          </w:tcPr>
          <w:p w14:paraId="7520EB3F" w14:textId="77777777" w:rsidR="00630AEA" w:rsidRDefault="00630AEA" w:rsidP="0038606E">
            <w:pPr>
              <w:pStyle w:val="TableParagraph"/>
              <w:kinsoku w:val="0"/>
              <w:overflowPunct w:val="0"/>
              <w:spacing w:before="108"/>
              <w:ind w:left="11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630AEA" w14:paraId="27B3849F" w14:textId="77777777" w:rsidTr="0038606E">
        <w:trPr>
          <w:trHeight w:hRule="exact" w:val="847"/>
          <w:jc w:val="center"/>
        </w:trPr>
        <w:tc>
          <w:tcPr>
            <w:tcW w:w="1210" w:type="dxa"/>
            <w:vAlign w:val="center"/>
          </w:tcPr>
          <w:p w14:paraId="5D2A3892" w14:textId="77777777" w:rsidR="00630AEA" w:rsidRDefault="00630AEA" w:rsidP="0038606E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theme="minorBidi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教学特色</w:t>
            </w:r>
          </w:p>
        </w:tc>
        <w:tc>
          <w:tcPr>
            <w:tcW w:w="6015" w:type="dxa"/>
            <w:vAlign w:val="center"/>
          </w:tcPr>
          <w:p w14:paraId="37C924A3" w14:textId="77777777" w:rsidR="00630AEA" w:rsidRDefault="00630AEA" w:rsidP="0038606E">
            <w:pPr>
              <w:pStyle w:val="TableParagraph"/>
              <w:kinsoku w:val="0"/>
              <w:overflowPunct w:val="0"/>
              <w:spacing w:before="56"/>
              <w:ind w:left="111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教学风格突出、教学模式新颖、效果好，具有较大的借鉴和推广价值。专业教育与立德树人是否紧密结合。</w:t>
            </w:r>
          </w:p>
        </w:tc>
        <w:tc>
          <w:tcPr>
            <w:tcW w:w="1363" w:type="dxa"/>
            <w:vAlign w:val="center"/>
          </w:tcPr>
          <w:p w14:paraId="3A8F54C3" w14:textId="77777777" w:rsidR="00630AEA" w:rsidRDefault="00630AEA" w:rsidP="0038606E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 xml:space="preserve">10 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630AEA" w14:paraId="0AE794D4" w14:textId="77777777" w:rsidTr="00E11801">
        <w:trPr>
          <w:trHeight w:hRule="exact" w:val="689"/>
          <w:jc w:val="center"/>
        </w:trPr>
        <w:tc>
          <w:tcPr>
            <w:tcW w:w="1210" w:type="dxa"/>
            <w:vAlign w:val="center"/>
          </w:tcPr>
          <w:p w14:paraId="2CF3A20D" w14:textId="77777777" w:rsidR="00630AEA" w:rsidRDefault="00630AEA" w:rsidP="0038606E">
            <w:pPr>
              <w:pStyle w:val="TableParagraph"/>
              <w:kinsoku w:val="0"/>
              <w:overflowPunct w:val="0"/>
              <w:spacing w:before="112"/>
              <w:ind w:left="385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总分</w:t>
            </w:r>
          </w:p>
        </w:tc>
        <w:tc>
          <w:tcPr>
            <w:tcW w:w="6015" w:type="dxa"/>
            <w:vAlign w:val="center"/>
          </w:tcPr>
          <w:p w14:paraId="199CA1D8" w14:textId="77777777" w:rsidR="00630AEA" w:rsidRDefault="00630AEA" w:rsidP="0038606E">
            <w:pPr>
              <w:rPr>
                <w:rFonts w:ascii="仿宋" w:eastAsia="仿宋" w:hAnsi="仿宋" w:cs="Arial"/>
                <w:kern w:val="0"/>
                <w:sz w:val="22"/>
                <w:lang w:val="en-GB"/>
              </w:rPr>
            </w:pPr>
          </w:p>
        </w:tc>
        <w:tc>
          <w:tcPr>
            <w:tcW w:w="1363" w:type="dxa"/>
            <w:vAlign w:val="center"/>
          </w:tcPr>
          <w:p w14:paraId="28F99C22" w14:textId="77777777" w:rsidR="00630AEA" w:rsidRDefault="00630AEA" w:rsidP="0038606E">
            <w:pPr>
              <w:pStyle w:val="TableParagraph"/>
              <w:kinsoku w:val="0"/>
              <w:overflowPunct w:val="0"/>
              <w:spacing w:before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 xml:space="preserve">100 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</w:tbl>
    <w:p w14:paraId="45A8F660" w14:textId="77777777" w:rsidR="00755BE7" w:rsidRPr="00361A12" w:rsidRDefault="00755BE7" w:rsidP="00E11801">
      <w:pPr>
        <w:spacing w:line="20" w:lineRule="exact"/>
        <w:rPr>
          <w:rFonts w:ascii="黑体" w:eastAsia="黑体" w:hAnsi="黑体" w:hint="eastAsia"/>
          <w:sz w:val="24"/>
          <w:szCs w:val="28"/>
        </w:rPr>
      </w:pPr>
      <w:bookmarkStart w:id="0" w:name="_GoBack"/>
      <w:bookmarkEnd w:id="0"/>
    </w:p>
    <w:sectPr w:rsidR="00755BE7" w:rsidRPr="00361A12" w:rsidSect="001F0CEF">
      <w:headerReference w:type="default" r:id="rId8"/>
      <w:pgSz w:w="11906" w:h="16838"/>
      <w:pgMar w:top="2098" w:right="1474" w:bottom="1985" w:left="1588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BAC9C" w14:textId="77777777" w:rsidR="00294638" w:rsidRDefault="00294638" w:rsidP="00532486">
      <w:r>
        <w:separator/>
      </w:r>
    </w:p>
  </w:endnote>
  <w:endnote w:type="continuationSeparator" w:id="0">
    <w:p w14:paraId="6435BCB7" w14:textId="77777777" w:rsidR="00294638" w:rsidRDefault="00294638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DB67F" w14:textId="77777777" w:rsidR="00294638" w:rsidRDefault="00294638" w:rsidP="00532486">
      <w:r>
        <w:separator/>
      </w:r>
    </w:p>
  </w:footnote>
  <w:footnote w:type="continuationSeparator" w:id="0">
    <w:p w14:paraId="3D90BDCD" w14:textId="77777777" w:rsidR="00294638" w:rsidRDefault="00294638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2875D" w14:textId="77777777" w:rsidR="00805FA3" w:rsidRDefault="00805FA3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14621"/>
    <w:rsid w:val="00054F09"/>
    <w:rsid w:val="0005541D"/>
    <w:rsid w:val="0006146B"/>
    <w:rsid w:val="00061B52"/>
    <w:rsid w:val="000805DA"/>
    <w:rsid w:val="00083BB6"/>
    <w:rsid w:val="00093A47"/>
    <w:rsid w:val="00096C60"/>
    <w:rsid w:val="00096F2E"/>
    <w:rsid w:val="000A5DE0"/>
    <w:rsid w:val="000A742C"/>
    <w:rsid w:val="000C50A6"/>
    <w:rsid w:val="000E057A"/>
    <w:rsid w:val="000E654A"/>
    <w:rsid w:val="000F7FA9"/>
    <w:rsid w:val="00111B1A"/>
    <w:rsid w:val="0011209D"/>
    <w:rsid w:val="0011288F"/>
    <w:rsid w:val="001142BD"/>
    <w:rsid w:val="001369E6"/>
    <w:rsid w:val="00137982"/>
    <w:rsid w:val="00146A32"/>
    <w:rsid w:val="0014775A"/>
    <w:rsid w:val="00165EA1"/>
    <w:rsid w:val="00165F42"/>
    <w:rsid w:val="00173A2A"/>
    <w:rsid w:val="001755A2"/>
    <w:rsid w:val="00185BE3"/>
    <w:rsid w:val="001865BB"/>
    <w:rsid w:val="00187627"/>
    <w:rsid w:val="001B71C7"/>
    <w:rsid w:val="001C2A05"/>
    <w:rsid w:val="001D2E9C"/>
    <w:rsid w:val="001F0CEF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4638"/>
    <w:rsid w:val="00297E53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B7D25"/>
    <w:rsid w:val="003D08B5"/>
    <w:rsid w:val="003E4B61"/>
    <w:rsid w:val="003F77AF"/>
    <w:rsid w:val="00403488"/>
    <w:rsid w:val="00413FCE"/>
    <w:rsid w:val="004151BF"/>
    <w:rsid w:val="00421A28"/>
    <w:rsid w:val="00436889"/>
    <w:rsid w:val="00437904"/>
    <w:rsid w:val="00441623"/>
    <w:rsid w:val="00456BC1"/>
    <w:rsid w:val="0046310F"/>
    <w:rsid w:val="00464958"/>
    <w:rsid w:val="00473657"/>
    <w:rsid w:val="00490581"/>
    <w:rsid w:val="00495F9A"/>
    <w:rsid w:val="004B0A5A"/>
    <w:rsid w:val="004B774E"/>
    <w:rsid w:val="004C221A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3688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10FE4"/>
    <w:rsid w:val="00630AEA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5BE7"/>
    <w:rsid w:val="00773F42"/>
    <w:rsid w:val="007869B6"/>
    <w:rsid w:val="00795A05"/>
    <w:rsid w:val="007A0FB9"/>
    <w:rsid w:val="007A1A9B"/>
    <w:rsid w:val="007C4096"/>
    <w:rsid w:val="007C7453"/>
    <w:rsid w:val="007F777E"/>
    <w:rsid w:val="00803308"/>
    <w:rsid w:val="00805FA3"/>
    <w:rsid w:val="00812E1F"/>
    <w:rsid w:val="00822BD3"/>
    <w:rsid w:val="00845352"/>
    <w:rsid w:val="00846847"/>
    <w:rsid w:val="00847AA3"/>
    <w:rsid w:val="0085097F"/>
    <w:rsid w:val="00850DB1"/>
    <w:rsid w:val="00861EE7"/>
    <w:rsid w:val="00865815"/>
    <w:rsid w:val="008667F3"/>
    <w:rsid w:val="008735AB"/>
    <w:rsid w:val="0087560C"/>
    <w:rsid w:val="0087747E"/>
    <w:rsid w:val="00883EF5"/>
    <w:rsid w:val="00896B06"/>
    <w:rsid w:val="008974FD"/>
    <w:rsid w:val="008B55F8"/>
    <w:rsid w:val="008B787E"/>
    <w:rsid w:val="008B7BCF"/>
    <w:rsid w:val="008C5534"/>
    <w:rsid w:val="008C6676"/>
    <w:rsid w:val="008C71BA"/>
    <w:rsid w:val="008E0D06"/>
    <w:rsid w:val="00904B69"/>
    <w:rsid w:val="0090623D"/>
    <w:rsid w:val="009067AF"/>
    <w:rsid w:val="009119A9"/>
    <w:rsid w:val="00921D72"/>
    <w:rsid w:val="009375B7"/>
    <w:rsid w:val="00967DEB"/>
    <w:rsid w:val="00980541"/>
    <w:rsid w:val="00983A05"/>
    <w:rsid w:val="00996AD4"/>
    <w:rsid w:val="009A0F97"/>
    <w:rsid w:val="009B00B4"/>
    <w:rsid w:val="009C3641"/>
    <w:rsid w:val="009C69CF"/>
    <w:rsid w:val="009D48D4"/>
    <w:rsid w:val="00A1026B"/>
    <w:rsid w:val="00A12FFB"/>
    <w:rsid w:val="00A2158B"/>
    <w:rsid w:val="00A219E4"/>
    <w:rsid w:val="00A324B3"/>
    <w:rsid w:val="00A36326"/>
    <w:rsid w:val="00A4218A"/>
    <w:rsid w:val="00A44193"/>
    <w:rsid w:val="00A75658"/>
    <w:rsid w:val="00A80812"/>
    <w:rsid w:val="00A86873"/>
    <w:rsid w:val="00A96A36"/>
    <w:rsid w:val="00AC05F7"/>
    <w:rsid w:val="00AC6C19"/>
    <w:rsid w:val="00AD02D4"/>
    <w:rsid w:val="00AD0B56"/>
    <w:rsid w:val="00AD21D7"/>
    <w:rsid w:val="00B02203"/>
    <w:rsid w:val="00B05979"/>
    <w:rsid w:val="00B17404"/>
    <w:rsid w:val="00B34F25"/>
    <w:rsid w:val="00B36B61"/>
    <w:rsid w:val="00B41129"/>
    <w:rsid w:val="00B516C0"/>
    <w:rsid w:val="00B5523F"/>
    <w:rsid w:val="00B5734F"/>
    <w:rsid w:val="00B66243"/>
    <w:rsid w:val="00B70066"/>
    <w:rsid w:val="00B7786D"/>
    <w:rsid w:val="00B92D67"/>
    <w:rsid w:val="00B97A4E"/>
    <w:rsid w:val="00BA2137"/>
    <w:rsid w:val="00BA3EAC"/>
    <w:rsid w:val="00BC3207"/>
    <w:rsid w:val="00BC5CEB"/>
    <w:rsid w:val="00BC625B"/>
    <w:rsid w:val="00BD738D"/>
    <w:rsid w:val="00BE164D"/>
    <w:rsid w:val="00C0170B"/>
    <w:rsid w:val="00C07D36"/>
    <w:rsid w:val="00C22458"/>
    <w:rsid w:val="00C30896"/>
    <w:rsid w:val="00C339DE"/>
    <w:rsid w:val="00C40495"/>
    <w:rsid w:val="00C4076A"/>
    <w:rsid w:val="00C444EC"/>
    <w:rsid w:val="00C5405C"/>
    <w:rsid w:val="00C60104"/>
    <w:rsid w:val="00C64C1F"/>
    <w:rsid w:val="00C65E44"/>
    <w:rsid w:val="00C67801"/>
    <w:rsid w:val="00C93E7E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84E74"/>
    <w:rsid w:val="00D93843"/>
    <w:rsid w:val="00D93BBF"/>
    <w:rsid w:val="00DA3AF7"/>
    <w:rsid w:val="00DB0A72"/>
    <w:rsid w:val="00DB604F"/>
    <w:rsid w:val="00DD246E"/>
    <w:rsid w:val="00DF383E"/>
    <w:rsid w:val="00DF7375"/>
    <w:rsid w:val="00E027B0"/>
    <w:rsid w:val="00E11801"/>
    <w:rsid w:val="00E11CC5"/>
    <w:rsid w:val="00E2327F"/>
    <w:rsid w:val="00E235D6"/>
    <w:rsid w:val="00E33E19"/>
    <w:rsid w:val="00E36337"/>
    <w:rsid w:val="00E41049"/>
    <w:rsid w:val="00E6139D"/>
    <w:rsid w:val="00E742E7"/>
    <w:rsid w:val="00E96CF7"/>
    <w:rsid w:val="00E97A64"/>
    <w:rsid w:val="00EA34B8"/>
    <w:rsid w:val="00EA4C27"/>
    <w:rsid w:val="00EB7C68"/>
    <w:rsid w:val="00EC171B"/>
    <w:rsid w:val="00EC344E"/>
    <w:rsid w:val="00EF6413"/>
    <w:rsid w:val="00F11ECF"/>
    <w:rsid w:val="00F13485"/>
    <w:rsid w:val="00F14958"/>
    <w:rsid w:val="00F21D57"/>
    <w:rsid w:val="00F22BE7"/>
    <w:rsid w:val="00F3038B"/>
    <w:rsid w:val="00F34507"/>
    <w:rsid w:val="00F418BC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C7046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57969"/>
  <w15:docId w15:val="{040E9480-19A5-45F1-B4B0-A1E6749F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iPriority w:val="99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uiPriority w:val="9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1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2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3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4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uiPriority w:val="99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5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6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A32C6-8838-4741-8DA1-F64314E4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151</cp:revision>
  <cp:lastPrinted>2021-09-01T04:05:00Z</cp:lastPrinted>
  <dcterms:created xsi:type="dcterms:W3CDTF">2020-03-08T09:37:00Z</dcterms:created>
  <dcterms:modified xsi:type="dcterms:W3CDTF">2021-10-29T06:31:00Z</dcterms:modified>
</cp:coreProperties>
</file>