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ZL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ZL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上海建桥学院督导听课表</w:t>
      </w:r>
      <w:r>
        <w:rPr>
          <w:rFonts w:hint="eastAsia"/>
          <w:b/>
          <w:sz w:val="28"/>
        </w:rPr>
        <w:t>（线上、混合式教学）</w:t>
      </w:r>
    </w:p>
    <w:p>
      <w:pPr>
        <w:jc w:val="left"/>
        <w:rPr>
          <w:rFonts w:hint="eastAsia"/>
          <w:szCs w:val="21"/>
        </w:rPr>
      </w:pPr>
    </w:p>
    <w:p>
      <w:pPr>
        <w:spacing w:line="276" w:lineRule="auto"/>
        <w:jc w:val="left"/>
        <w:rPr>
          <w:b/>
          <w:szCs w:val="21"/>
          <w:u w:val="single"/>
        </w:rPr>
      </w:pPr>
      <w:r>
        <w:rPr>
          <w:b/>
          <w:szCs w:val="21"/>
        </w:rPr>
        <w:t>课程名称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</w:t>
      </w:r>
      <w:r>
        <w:rPr>
          <w:b/>
          <w:szCs w:val="21"/>
        </w:rPr>
        <w:t>开课</w:t>
      </w:r>
      <w:r>
        <w:rPr>
          <w:rFonts w:hint="eastAsia"/>
          <w:b/>
          <w:szCs w:val="21"/>
        </w:rPr>
        <w:t>单位：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授课教师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      </w:t>
      </w:r>
    </w:p>
    <w:p>
      <w:pPr>
        <w:spacing w:line="276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时间：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日，星期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 xml:space="preserve">  第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节        专业、班级：</w:t>
      </w:r>
      <w:r>
        <w:rPr>
          <w:rFonts w:hint="eastAsia"/>
          <w:b/>
          <w:szCs w:val="21"/>
          <w:u w:val="single"/>
        </w:rPr>
        <w:t xml:space="preserve">              </w:t>
      </w:r>
    </w:p>
    <w:p>
      <w:pPr>
        <w:spacing w:line="276" w:lineRule="auto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教师职称：</w:t>
      </w:r>
      <w:r>
        <w:rPr>
          <w:rFonts w:hint="eastAsia"/>
          <w:b/>
          <w:szCs w:val="21"/>
          <w:u w:val="single"/>
        </w:rPr>
        <w:t xml:space="preserve">                 </w:t>
      </w:r>
      <w:r>
        <w:rPr>
          <w:rFonts w:hint="eastAsia"/>
          <w:b/>
          <w:szCs w:val="21"/>
        </w:rPr>
        <w:t xml:space="preserve">              教师身份（专职或兼职）：</w:t>
      </w:r>
      <w:r>
        <w:rPr>
          <w:rFonts w:hint="eastAsia"/>
          <w:b/>
          <w:szCs w:val="21"/>
          <w:u w:val="single"/>
        </w:rPr>
        <w:t xml:space="preserve">                </w:t>
      </w:r>
    </w:p>
    <w:p>
      <w:pPr>
        <w:spacing w:line="276" w:lineRule="auto"/>
        <w:jc w:val="left"/>
        <w:rPr>
          <w:rFonts w:hint="eastAsia"/>
          <w:b/>
          <w:szCs w:val="21"/>
          <w:u w:val="single"/>
        </w:rPr>
      </w:pPr>
      <w:r>
        <w:rPr>
          <w:b/>
          <w:szCs w:val="21"/>
        </w:rPr>
        <w:t>班课群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       </w:t>
      </w:r>
      <w:r>
        <w:rPr>
          <w:rFonts w:hint="eastAsia"/>
          <w:b/>
          <w:szCs w:val="21"/>
        </w:rPr>
        <w:t xml:space="preserve">   </w:t>
      </w:r>
      <w:r>
        <w:rPr>
          <w:b/>
          <w:szCs w:val="21"/>
        </w:rPr>
        <w:t>平台名称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  </w:t>
      </w:r>
      <w:r>
        <w:rPr>
          <w:rFonts w:hint="eastAsia"/>
          <w:b/>
          <w:szCs w:val="21"/>
        </w:rPr>
        <w:t xml:space="preserve">   授课模式（线上\混合）：</w:t>
      </w:r>
      <w:r>
        <w:rPr>
          <w:rFonts w:hint="eastAsia"/>
          <w:b/>
          <w:szCs w:val="21"/>
          <w:u w:val="single"/>
        </w:rPr>
        <w:t xml:space="preserve">       </w:t>
      </w:r>
    </w:p>
    <w:p>
      <w:pPr>
        <w:spacing w:line="276" w:lineRule="auto"/>
        <w:jc w:val="left"/>
        <w:rPr>
          <w:b/>
          <w:sz w:val="24"/>
          <w:u w:val="single"/>
        </w:rPr>
      </w:pPr>
      <w:r>
        <w:rPr>
          <w:b/>
          <w:szCs w:val="21"/>
        </w:rPr>
        <w:t>应到学生数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   </w:t>
      </w:r>
      <w:r>
        <w:rPr>
          <w:rFonts w:hint="eastAsia"/>
          <w:b/>
          <w:szCs w:val="21"/>
        </w:rPr>
        <w:t xml:space="preserve">   </w:t>
      </w:r>
      <w:r>
        <w:rPr>
          <w:b/>
          <w:szCs w:val="21"/>
        </w:rPr>
        <w:t>实到学生数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 xml:space="preserve">       </w:t>
      </w:r>
      <w:r>
        <w:rPr>
          <w:b/>
          <w:szCs w:val="21"/>
        </w:rPr>
        <w:t>听课</w:t>
      </w:r>
      <w:r>
        <w:rPr>
          <w:rFonts w:hint="eastAsia"/>
          <w:b/>
          <w:szCs w:val="21"/>
        </w:rPr>
        <w:t>督导：</w:t>
      </w:r>
      <w:r>
        <w:rPr>
          <w:rFonts w:hint="eastAsia"/>
          <w:b/>
          <w:szCs w:val="21"/>
          <w:u w:val="single"/>
        </w:rPr>
        <w:t xml:space="preserve">       </w:t>
      </w:r>
    </w:p>
    <w:tbl>
      <w:tblPr>
        <w:tblStyle w:val="4"/>
        <w:tblpPr w:leftFromText="180" w:rightFromText="180" w:vertAnchor="page" w:horzAnchor="margin" w:tblpY="4621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812"/>
        <w:gridCol w:w="414"/>
        <w:gridCol w:w="414"/>
        <w:gridCol w:w="415"/>
        <w:gridCol w:w="414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89" w:type="dxa"/>
            <w:gridSpan w:val="2"/>
            <w:vMerge w:val="restart"/>
            <w:vAlign w:val="center"/>
          </w:tcPr>
          <w:p>
            <w:pPr>
              <w:ind w:firstLine="2741" w:firstLineChars="13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评价项目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7089" w:type="dxa"/>
            <w:gridSpan w:val="2"/>
            <w:vMerge w:val="continue"/>
          </w:tcPr>
          <w:p>
            <w:pPr>
              <w:ind w:firstLine="2730" w:firstLineChars="1300"/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思政教育</w:t>
            </w: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坚持立德树人和正确的意识形态方向，发挥课程育人作用，传递正确的价值理念，在课程中融入思政教育。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教学态度</w:t>
            </w: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建立课程学生联系群，提前告知学生预复习和网课等内容。课堂准备充分，讲课投入热情，注重为人师表。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教学内容（文件、内容和资料）</w:t>
            </w: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网上已提交教学大纲、教学进度表、教案和课件等教学资料且便于学生浏览。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授课内容满足课程既定教案目标，讲解条理清晰概念准确，重点和难点明确；授课内容充实，具有一定的广度、深度和挑战度。能给与学生思考、联想和创新的启迪。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注重理论联系实际，反映学科前沿和实践应用内容。使用了案例、任务、真实问题等来引导学习。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教学资源完备、组织有序，符合认知规律。有按知识点准备的教学视频、PPT课件、练习题、测试题和作业。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教学设计符合在线教学特点，学习与考核形式多样、要求明确，能为学生提供清晰的学习路径和细致的学习指导。关注学生线上学习情况并及时答疑解惑，在课堂上向学生反馈平台的学习情况。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熟练运用线上教学工具和各种教学方法，善于启发和引导，促进师生交流和互动；注重学生思维训练，培养学生解决复杂问题的综合能力。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授课语言生动流畅，有激情和感染力；文字和画面正确、规范、清晰。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教学效果</w:t>
            </w:r>
          </w:p>
        </w:tc>
        <w:tc>
          <w:tcPr>
            <w:tcW w:w="58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课堂管理严格，教学气氛活跃，线上师生互动充分融洽，学生专注学习并能参与到教学全过程，学习兴趣得到有效激发。学生完成作业情况良好。</w:t>
            </w: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08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综合评分（满分100分）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课程教学5级评价标准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627"/>
        <w:gridCol w:w="628"/>
        <w:gridCol w:w="628"/>
        <w:gridCol w:w="628"/>
        <w:gridCol w:w="628"/>
        <w:gridCol w:w="992"/>
        <w:gridCol w:w="992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restart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评分标准</w:t>
            </w:r>
          </w:p>
        </w:tc>
        <w:tc>
          <w:tcPr>
            <w:tcW w:w="6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优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及格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100-90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89-80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79-70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69-60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59以下</w:t>
            </w:r>
          </w:p>
        </w:tc>
      </w:tr>
    </w:tbl>
    <w:p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教材名称：</w:t>
      </w:r>
    </w:p>
    <w:p>
      <w:pPr>
        <w:jc w:val="left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</w:t>
      </w:r>
      <w:r>
        <w:rPr>
          <w:rFonts w:hint="eastAsia"/>
          <w:sz w:val="22"/>
        </w:rPr>
        <w:t xml:space="preserve">国家级规划教材       </w:t>
      </w:r>
      <w:r>
        <w:rPr>
          <w:rFonts w:hint="eastAsia" w:asciiTheme="minorEastAsia" w:hAnsiTheme="minorEastAsia"/>
          <w:sz w:val="22"/>
        </w:rPr>
        <w:t xml:space="preserve">□省部级规划教材      □原版教材或影印教材  </w:t>
      </w:r>
    </w:p>
    <w:p>
      <w:pPr>
        <w:jc w:val="left"/>
        <w:rPr>
          <w:rFonts w:hint="eastAsia"/>
          <w:sz w:val="22"/>
        </w:rPr>
      </w:pPr>
      <w:r>
        <w:rPr>
          <w:rFonts w:hint="eastAsia" w:asciiTheme="minorEastAsia" w:hAnsiTheme="minorEastAsia"/>
          <w:sz w:val="22"/>
        </w:rPr>
        <w:t>□自编教材或讲义       □原版教材中译本      □</w:t>
      </w:r>
      <w:r>
        <w:rPr>
          <w:rFonts w:hint="eastAsia" w:asciiTheme="minorEastAsia" w:hAnsiTheme="minorEastAsia"/>
          <w:sz w:val="22"/>
          <w:u w:val="single"/>
        </w:rPr>
        <w:t xml:space="preserve">       </w:t>
      </w:r>
      <w:r>
        <w:rPr>
          <w:rFonts w:hint="eastAsia" w:asciiTheme="minorEastAsia" w:hAnsiTheme="minorEastAsia"/>
          <w:sz w:val="22"/>
        </w:rPr>
        <w:t>出版社教材</w:t>
      </w: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综合评价及建议：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1" w:hRule="atLeast"/>
        </w:trPr>
        <w:tc>
          <w:tcPr>
            <w:tcW w:w="8522" w:type="dxa"/>
          </w:tcPr>
          <w:p>
            <w:pPr>
              <w:jc w:val="left"/>
              <w:rPr>
                <w:b/>
                <w:sz w:val="28"/>
              </w:rPr>
            </w:pPr>
          </w:p>
        </w:tc>
      </w:tr>
    </w:tbl>
    <w:p>
      <w:pPr>
        <w:jc w:val="center"/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C7"/>
    <w:rsid w:val="00587C87"/>
    <w:rsid w:val="00595B98"/>
    <w:rsid w:val="005967E0"/>
    <w:rsid w:val="00625F18"/>
    <w:rsid w:val="006C7DEE"/>
    <w:rsid w:val="006F4657"/>
    <w:rsid w:val="0079457A"/>
    <w:rsid w:val="008152C7"/>
    <w:rsid w:val="00937D77"/>
    <w:rsid w:val="009F4ECB"/>
    <w:rsid w:val="00B52F01"/>
    <w:rsid w:val="00BB6671"/>
    <w:rsid w:val="00D32EF7"/>
    <w:rsid w:val="00F6783B"/>
    <w:rsid w:val="3F3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1027</Characters>
  <Lines>8</Lines>
  <Paragraphs>2</Paragraphs>
  <TotalTime>0</TotalTime>
  <ScaleCrop>false</ScaleCrop>
  <LinksUpToDate>false</LinksUpToDate>
  <CharactersWithSpaces>1205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2020-09-11T05:43:00Z</dcterms:created>
  <dc:creator>YYH</dc:creator>
  <cp:lastModifiedBy>水煮鱼</cp:lastModifiedBy>
  <dcterms:modified xsi:type="dcterms:W3CDTF">2021-04-21T08:49:54Z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0F89D9480A994E9D8D00898777EC9D3D</vt:lpwstr>
  </property>
</Properties>
</file>